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79" w:rsidRPr="009A370F" w:rsidRDefault="000270CB" w:rsidP="003C1C17">
      <w:pPr>
        <w:spacing w:line="48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ScientificArticle</w:t>
      </w:r>
    </w:p>
    <w:p w:rsidR="00E10779" w:rsidRDefault="00E10779" w:rsidP="00B92315">
      <w:pPr>
        <w:spacing w:line="48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45E7D" w:rsidRDefault="00845E7D" w:rsidP="00B92315">
      <w:pPr>
        <w:spacing w:line="48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45E7D" w:rsidRPr="009A370F" w:rsidRDefault="00845E7D" w:rsidP="00845E7D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A370F">
        <w:rPr>
          <w:rFonts w:ascii="Arial" w:hAnsi="Arial" w:cs="Arial"/>
          <w:b/>
          <w:sz w:val="24"/>
          <w:szCs w:val="24"/>
        </w:rPr>
        <w:t>Controle de azevém decorrente da aplicação isolada e em associação de herbicidas</w:t>
      </w:r>
    </w:p>
    <w:p w:rsidR="00B87A66" w:rsidRDefault="00B87A66" w:rsidP="00B92315">
      <w:pPr>
        <w:spacing w:line="48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45E7D" w:rsidRPr="009A370F" w:rsidRDefault="00845E7D" w:rsidP="00B92315">
      <w:pPr>
        <w:spacing w:line="48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270CB" w:rsidRPr="000270CB" w:rsidRDefault="000270CB" w:rsidP="000270CB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Ryegrass control derived from</w:t>
      </w:r>
      <w:r w:rsidRPr="000270CB">
        <w:rPr>
          <w:rFonts w:ascii="Arial" w:hAnsi="Arial" w:cs="Arial"/>
          <w:b/>
          <w:sz w:val="24"/>
          <w:szCs w:val="24"/>
          <w:lang w:val="en-US"/>
        </w:rPr>
        <w:t xml:space="preserve"> isolated application </w:t>
      </w:r>
      <w:r w:rsidR="00484466">
        <w:rPr>
          <w:rFonts w:ascii="Arial" w:hAnsi="Arial" w:cs="Arial"/>
          <w:b/>
          <w:sz w:val="24"/>
          <w:szCs w:val="24"/>
          <w:lang w:val="en-US"/>
        </w:rPr>
        <w:t>with</w:t>
      </w:r>
      <w:r w:rsidR="000501C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84466">
        <w:rPr>
          <w:rFonts w:ascii="Arial" w:hAnsi="Arial" w:cs="Arial"/>
          <w:b/>
          <w:sz w:val="24"/>
          <w:szCs w:val="24"/>
          <w:lang w:val="en-US"/>
        </w:rPr>
        <w:t xml:space="preserve">herbicides </w:t>
      </w:r>
      <w:r>
        <w:rPr>
          <w:rFonts w:ascii="Arial" w:hAnsi="Arial" w:cs="Arial"/>
          <w:b/>
          <w:sz w:val="24"/>
          <w:szCs w:val="24"/>
          <w:lang w:val="en-US"/>
        </w:rPr>
        <w:t xml:space="preserve">association </w:t>
      </w:r>
    </w:p>
    <w:p w:rsidR="0040439A" w:rsidRPr="000501C7" w:rsidRDefault="0040439A" w:rsidP="00845E7D">
      <w:pPr>
        <w:spacing w:line="480" w:lineRule="auto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845E7D" w:rsidRPr="009A370F" w:rsidRDefault="00845E7D" w:rsidP="00845E7D">
      <w:pPr>
        <w:pStyle w:val="yiv4515130595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370F">
        <w:rPr>
          <w:rFonts w:ascii="Arial" w:hAnsi="Arial" w:cs="Arial"/>
          <w:b/>
          <w:bCs/>
          <w:color w:val="000000"/>
          <w:sz w:val="20"/>
          <w:szCs w:val="20"/>
        </w:rPr>
        <w:t xml:space="preserve">Resumo – </w:t>
      </w:r>
      <w:r w:rsidRPr="00340C0A">
        <w:rPr>
          <w:rFonts w:ascii="Arial" w:hAnsi="Arial" w:cs="Arial"/>
          <w:sz w:val="20"/>
          <w:szCs w:val="20"/>
        </w:rPr>
        <w:t>Objetivou-se com este trabalho avaliar a eficiência de herbicidas de diferentes mecanismos de ação, isolados e em associação, no controle de azevém.</w:t>
      </w:r>
      <w:r w:rsidRPr="009A370F">
        <w:rPr>
          <w:rFonts w:ascii="Arial" w:hAnsi="Arial" w:cs="Arial"/>
          <w:sz w:val="20"/>
          <w:szCs w:val="20"/>
        </w:rPr>
        <w:t xml:space="preserve"> O trabalho foi conduzido durante a estação fria de 2010 na área experimental da Universidade de Cruz Alta situada no município de Cruz Alta/RS. </w:t>
      </w:r>
      <w:r w:rsidRPr="009A370F">
        <w:rPr>
          <w:rFonts w:ascii="Arial" w:hAnsi="Arial" w:cs="Arial"/>
          <w:color w:val="000000"/>
          <w:sz w:val="20"/>
          <w:szCs w:val="20"/>
        </w:rPr>
        <w:t>Os tratamentos avaliados foram: glifosato (720, 1440 e 2160 g e. a.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9A370F">
        <w:rPr>
          <w:rFonts w:ascii="Arial" w:hAnsi="Arial" w:cs="Arial"/>
          <w:color w:val="000000"/>
          <w:sz w:val="20"/>
          <w:szCs w:val="20"/>
        </w:rPr>
        <w:t>), fluazifope-p-butílico (200 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9A370F">
        <w:rPr>
          <w:rFonts w:ascii="Arial" w:hAnsi="Arial" w:cs="Arial"/>
          <w:color w:val="000000"/>
          <w:sz w:val="20"/>
          <w:szCs w:val="20"/>
        </w:rPr>
        <w:t>), cletodim (72 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9A370F">
        <w:rPr>
          <w:rFonts w:ascii="Arial" w:hAnsi="Arial" w:cs="Arial"/>
          <w:color w:val="000000"/>
          <w:sz w:val="20"/>
          <w:szCs w:val="20"/>
        </w:rPr>
        <w:t>), quizalofope-p-tefurílico (120 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9A370F">
        <w:rPr>
          <w:rFonts w:ascii="Arial" w:hAnsi="Arial" w:cs="Arial"/>
          <w:color w:val="000000"/>
          <w:sz w:val="20"/>
          <w:szCs w:val="20"/>
        </w:rPr>
        <w:t>), clodinafope (120 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9A370F">
        <w:rPr>
          <w:rFonts w:ascii="Arial" w:hAnsi="Arial" w:cs="Arial"/>
          <w:color w:val="000000"/>
          <w:sz w:val="20"/>
          <w:szCs w:val="20"/>
        </w:rPr>
        <w:t>), glufosinato (500 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9A370F">
        <w:rPr>
          <w:rFonts w:ascii="Arial" w:hAnsi="Arial" w:cs="Arial"/>
          <w:color w:val="000000"/>
          <w:sz w:val="20"/>
          <w:szCs w:val="20"/>
        </w:rPr>
        <w:t>), paraquate (500 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9A370F">
        <w:rPr>
          <w:rFonts w:ascii="Arial" w:hAnsi="Arial" w:cs="Arial"/>
          <w:color w:val="000000"/>
          <w:sz w:val="20"/>
          <w:szCs w:val="20"/>
        </w:rPr>
        <w:t>), as associações de glifosato (720 g e.a.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9A370F">
        <w:rPr>
          <w:rFonts w:ascii="Arial" w:hAnsi="Arial" w:cs="Arial"/>
          <w:color w:val="000000"/>
          <w:sz w:val="20"/>
          <w:szCs w:val="20"/>
        </w:rPr>
        <w:t>) com fluazifope-p-butílico (125 g e 200g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9A370F">
        <w:rPr>
          <w:rFonts w:ascii="Arial" w:hAnsi="Arial" w:cs="Arial"/>
          <w:color w:val="000000"/>
          <w:sz w:val="20"/>
          <w:szCs w:val="20"/>
        </w:rPr>
        <w:t>), clodinafope (60g e 120g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9A370F">
        <w:rPr>
          <w:rFonts w:ascii="Arial" w:hAnsi="Arial" w:cs="Arial"/>
          <w:color w:val="000000"/>
          <w:sz w:val="20"/>
          <w:szCs w:val="20"/>
        </w:rPr>
        <w:t>), quizalofope-p-tefurílico (96 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9A370F">
        <w:rPr>
          <w:rFonts w:ascii="Arial" w:hAnsi="Arial" w:cs="Arial"/>
          <w:color w:val="000000"/>
          <w:sz w:val="20"/>
          <w:szCs w:val="20"/>
        </w:rPr>
        <w:t>), cletodim (72 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9A370F">
        <w:rPr>
          <w:rFonts w:ascii="Arial" w:hAnsi="Arial" w:cs="Arial"/>
          <w:color w:val="000000"/>
          <w:sz w:val="20"/>
          <w:szCs w:val="20"/>
        </w:rPr>
        <w:t xml:space="preserve">), e uma testemunha sem aplicação de herbicida. </w:t>
      </w:r>
      <w:r w:rsidRPr="00B87A66">
        <w:rPr>
          <w:rFonts w:ascii="Arial" w:hAnsi="Arial" w:cs="Arial"/>
          <w:color w:val="000000"/>
          <w:sz w:val="20"/>
          <w:szCs w:val="20"/>
        </w:rPr>
        <w:t>O tratamento com glifosato + cletodim (720+72 g ha</w:t>
      </w:r>
      <w:r w:rsidRPr="00B87A66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B87A66">
        <w:rPr>
          <w:rFonts w:ascii="Arial" w:hAnsi="Arial" w:cs="Arial"/>
          <w:color w:val="000000"/>
          <w:sz w:val="20"/>
          <w:szCs w:val="20"/>
        </w:rPr>
        <w:t>) e com glifosato + quizalofop-p-telurílico, destacaram-se positivamente no controle do azevém. Os inibidores de ACCAse isolados não foram boas opções de controle, por outro lado, o aumento da dose de glifosato até 2160 g e. a. ha</w:t>
      </w:r>
      <w:r w:rsidRPr="00B87A66">
        <w:rPr>
          <w:rStyle w:val="apple-converted-space"/>
          <w:rFonts w:ascii="Arial" w:hAnsi="Arial" w:cs="Arial"/>
          <w:color w:val="000000"/>
          <w:sz w:val="20"/>
        </w:rPr>
        <w:t> </w:t>
      </w:r>
      <w:r w:rsidRPr="00B87A66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B87A66">
        <w:rPr>
          <w:rStyle w:val="apple-converted-space"/>
          <w:rFonts w:ascii="Arial" w:hAnsi="Arial" w:cs="Arial"/>
          <w:color w:val="000000"/>
          <w:sz w:val="20"/>
        </w:rPr>
        <w:t> </w:t>
      </w:r>
      <w:r w:rsidRPr="00B87A66">
        <w:rPr>
          <w:rFonts w:ascii="Arial" w:hAnsi="Arial" w:cs="Arial"/>
          <w:color w:val="000000"/>
          <w:sz w:val="20"/>
          <w:szCs w:val="20"/>
        </w:rPr>
        <w:t>melhorou</w:t>
      </w:r>
      <w:r w:rsidRPr="00B87A66">
        <w:rPr>
          <w:rStyle w:val="apple-converted-space"/>
          <w:rFonts w:ascii="Arial" w:hAnsi="Arial" w:cs="Arial"/>
          <w:color w:val="FF0000"/>
          <w:sz w:val="20"/>
        </w:rPr>
        <w:t> </w:t>
      </w:r>
      <w:r w:rsidRPr="00B87A66">
        <w:rPr>
          <w:rFonts w:ascii="Arial" w:hAnsi="Arial" w:cs="Arial"/>
          <w:color w:val="000000"/>
          <w:sz w:val="20"/>
          <w:szCs w:val="20"/>
        </w:rPr>
        <w:t>o controle de azevém. O herbicida paraquate apresentou bons resultados de controle, sendo superior ao glufosinato, porém o resultado de ambos os produtos não são</w:t>
      </w:r>
      <w:r>
        <w:rPr>
          <w:rFonts w:ascii="Arial" w:hAnsi="Arial" w:cs="Arial"/>
          <w:color w:val="000000"/>
          <w:sz w:val="20"/>
          <w:szCs w:val="20"/>
        </w:rPr>
        <w:t>suficientes</w:t>
      </w:r>
      <w:r w:rsidRPr="00B87A66">
        <w:rPr>
          <w:rFonts w:ascii="Arial" w:hAnsi="Arial" w:cs="Arial"/>
          <w:color w:val="000000"/>
          <w:sz w:val="20"/>
          <w:szCs w:val="20"/>
        </w:rPr>
        <w:t xml:space="preserve"> para indicar seu uso isoladamente. Associações do glifosato com cletodim ou quizalofope-p-tefurílico e o aumento da dose de glifosato, proporcionaram acréscimos na eficiência de controle e reduziram a matéria seca do azevém, constituindo-se em opções viáveis para o controle desta espécie.</w:t>
      </w:r>
    </w:p>
    <w:p w:rsidR="00845E7D" w:rsidRPr="009A370F" w:rsidRDefault="00845E7D" w:rsidP="00845E7D">
      <w:pPr>
        <w:pStyle w:val="yiv4515130595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370F">
        <w:rPr>
          <w:rFonts w:ascii="Arial" w:hAnsi="Arial" w:cs="Arial"/>
          <w:b/>
          <w:bCs/>
          <w:color w:val="000000"/>
          <w:sz w:val="20"/>
          <w:szCs w:val="20"/>
        </w:rPr>
        <w:t>Palavras-chave adicionais:</w:t>
      </w:r>
      <w:r w:rsidRPr="009A370F">
        <w:rPr>
          <w:rStyle w:val="apple-converted-space"/>
          <w:rFonts w:ascii="Arial" w:hAnsi="Arial" w:cs="Arial"/>
          <w:b/>
          <w:bCs/>
          <w:color w:val="000000"/>
          <w:sz w:val="20"/>
        </w:rPr>
        <w:t> </w:t>
      </w:r>
      <w:r w:rsidRPr="009A370F">
        <w:rPr>
          <w:rFonts w:ascii="Arial" w:hAnsi="Arial" w:cs="Arial"/>
          <w:i/>
          <w:iCs/>
          <w:color w:val="000000"/>
          <w:sz w:val="20"/>
          <w:szCs w:val="20"/>
        </w:rPr>
        <w:t>Lolium</w:t>
      </w:r>
      <w:r w:rsidR="000501C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A370F">
        <w:rPr>
          <w:rFonts w:ascii="Arial" w:hAnsi="Arial" w:cs="Arial"/>
          <w:i/>
          <w:iCs/>
          <w:color w:val="000000"/>
          <w:sz w:val="20"/>
          <w:szCs w:val="20"/>
        </w:rPr>
        <w:t>multiflorum;</w:t>
      </w:r>
      <w:r w:rsidRPr="009A370F">
        <w:rPr>
          <w:rStyle w:val="apple-converted-space"/>
          <w:rFonts w:ascii="Arial" w:hAnsi="Arial" w:cs="Arial"/>
          <w:color w:val="000000"/>
          <w:sz w:val="20"/>
        </w:rPr>
        <w:t> </w:t>
      </w:r>
      <w:r w:rsidRPr="009A370F">
        <w:rPr>
          <w:rFonts w:ascii="Arial" w:hAnsi="Arial" w:cs="Arial"/>
          <w:color w:val="000000"/>
          <w:sz w:val="20"/>
          <w:szCs w:val="20"/>
        </w:rPr>
        <w:t>planta daninha; cletodim; fluazifope-p-butílico; quizalofope-p-tefurílico.</w:t>
      </w:r>
    </w:p>
    <w:p w:rsidR="00845E7D" w:rsidRPr="009A370F" w:rsidRDefault="00845E7D" w:rsidP="00845E7D">
      <w:pPr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45E7D" w:rsidRPr="009A370F" w:rsidRDefault="00845E7D" w:rsidP="00845E7D">
      <w:pPr>
        <w:pStyle w:val="yiv4515130595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A370F">
        <w:rPr>
          <w:rFonts w:ascii="Arial" w:hAnsi="Arial" w:cs="Arial"/>
          <w:b/>
          <w:sz w:val="20"/>
          <w:szCs w:val="20"/>
          <w:lang w:val="en-US"/>
        </w:rPr>
        <w:t xml:space="preserve">Abstract – </w:t>
      </w:r>
      <w:r w:rsidRPr="00326991">
        <w:rPr>
          <w:rFonts w:ascii="Arial" w:hAnsi="Arial" w:cs="Arial"/>
          <w:sz w:val="20"/>
          <w:szCs w:val="20"/>
          <w:lang w:val="en-US"/>
        </w:rPr>
        <w:t xml:space="preserve">The objective of this work was </w:t>
      </w:r>
      <w:r w:rsidR="00AA3F1A">
        <w:rPr>
          <w:rFonts w:ascii="Arial" w:hAnsi="Arial" w:cs="Arial"/>
          <w:sz w:val="20"/>
          <w:szCs w:val="20"/>
          <w:lang w:val="en-US"/>
        </w:rPr>
        <w:t>to evaluate</w:t>
      </w:r>
      <w:r w:rsidRPr="00326991">
        <w:rPr>
          <w:rFonts w:ascii="Arial" w:hAnsi="Arial" w:cs="Arial"/>
          <w:sz w:val="20"/>
          <w:szCs w:val="20"/>
          <w:lang w:val="en-US"/>
        </w:rPr>
        <w:t xml:space="preserve"> the efficiency of herbicides from different mechanism of action, </w:t>
      </w:r>
      <w:r>
        <w:rPr>
          <w:rFonts w:ascii="Arial" w:hAnsi="Arial" w:cs="Arial"/>
          <w:sz w:val="20"/>
          <w:szCs w:val="20"/>
          <w:lang w:val="en-US"/>
        </w:rPr>
        <w:t>isolate</w:t>
      </w:r>
      <w:r w:rsidRPr="00326991">
        <w:rPr>
          <w:rFonts w:ascii="Arial" w:hAnsi="Arial" w:cs="Arial"/>
          <w:sz w:val="20"/>
          <w:szCs w:val="20"/>
          <w:lang w:val="en-US"/>
        </w:rPr>
        <w:t xml:space="preserve"> and in association in ryegrass control. The trial was conducted during the cool station in 2010 at field station of University of Cruz Alta located in Cruz Alta/RS.</w:t>
      </w:r>
      <w:r w:rsidR="000501C7">
        <w:rPr>
          <w:rFonts w:ascii="Arial" w:hAnsi="Arial" w:cs="Arial"/>
          <w:sz w:val="20"/>
          <w:szCs w:val="20"/>
          <w:lang w:val="en-US"/>
        </w:rPr>
        <w:t xml:space="preserve"> 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The treatments evaluated were: glyphosate (720, 1440 and 2160g a.e.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), fluazifop-butyl (200g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), clethodim (72g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), quizalofop-p-ethyl (120g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), clodinafop-propargyl (120g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), glufosinate (500g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), paraquat (500g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 xml:space="preserve">), the 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associations of glyphosate (720g a.e.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) with fluazifop-butyl (125g and 200g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), clodinafop-propargyl (60g and 120g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), quizalofop-p-ethyl (96g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), clethodim (72g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), and a control without treatment.</w:t>
      </w:r>
      <w:r w:rsidR="000501C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The treatment with glyphosate+clethodim (720+72g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) an</w:t>
      </w:r>
      <w:r w:rsidR="00AA3F1A">
        <w:rPr>
          <w:rFonts w:ascii="Arial" w:hAnsi="Arial" w:cs="Arial"/>
          <w:color w:val="000000"/>
          <w:sz w:val="20"/>
          <w:szCs w:val="20"/>
          <w:lang w:val="en-US"/>
        </w:rPr>
        <w:t>d glyphosate+quizalofop-p-ethyl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 xml:space="preserve"> were the positive highlights in ryegrass control.</w:t>
      </w:r>
      <w:r w:rsidR="000501C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 xml:space="preserve">The ACCase inhibitors applied alone were not </w:t>
      </w:r>
      <w:r w:rsidR="00AA3F1A">
        <w:rPr>
          <w:rFonts w:ascii="Arial" w:hAnsi="Arial" w:cs="Arial"/>
          <w:color w:val="000000"/>
          <w:sz w:val="20"/>
          <w:szCs w:val="20"/>
          <w:lang w:val="en-US"/>
        </w:rPr>
        <w:t xml:space="preserve">a 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 xml:space="preserve">good control </w:t>
      </w:r>
      <w:r w:rsidR="00AA3F1A" w:rsidRPr="009A370F">
        <w:rPr>
          <w:rFonts w:ascii="Arial" w:hAnsi="Arial" w:cs="Arial"/>
          <w:color w:val="000000"/>
          <w:sz w:val="20"/>
          <w:szCs w:val="20"/>
          <w:lang w:val="en-US"/>
        </w:rPr>
        <w:t>option;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 xml:space="preserve"> however, the increase of glyphosate dose until 2160g a.e. ha</w:t>
      </w:r>
      <w:r w:rsidRPr="009A370F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 xml:space="preserve"> improved the ryegrass control.</w:t>
      </w:r>
      <w:r w:rsidR="000501C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The paraquat herbicide showed good control results, being superior to glufosinate, though both products results are not insurance for indicate your use alone.</w:t>
      </w:r>
      <w:r w:rsidR="000501C7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Associations of glyphosate with clethodim or quizalofop-p-ethyl and the increase of glyphosate dose proved an increment in control efficiency and reduced the ryegrass dry matter, constituting in viable options to control this specie.</w:t>
      </w:r>
    </w:p>
    <w:p w:rsidR="00845E7D" w:rsidRPr="009A370F" w:rsidRDefault="00845E7D" w:rsidP="00845E7D">
      <w:pPr>
        <w:spacing w:line="48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9A370F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Additional </w:t>
      </w:r>
      <w:r w:rsidRPr="009A370F">
        <w:rPr>
          <w:rFonts w:ascii="Arial" w:hAnsi="Arial" w:cs="Arial"/>
          <w:b/>
          <w:sz w:val="20"/>
          <w:szCs w:val="20"/>
          <w:lang w:val="en-US"/>
        </w:rPr>
        <w:t xml:space="preserve">keywords: </w:t>
      </w:r>
      <w:r w:rsidRPr="009A370F">
        <w:rPr>
          <w:rFonts w:ascii="Arial" w:hAnsi="Arial" w:cs="Arial"/>
          <w:i/>
          <w:color w:val="000000"/>
          <w:sz w:val="20"/>
          <w:szCs w:val="20"/>
          <w:lang w:val="en-US"/>
        </w:rPr>
        <w:t>Lolium</w:t>
      </w:r>
      <w:r w:rsidR="00FC1B6D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</w:t>
      </w:r>
      <w:r w:rsidRPr="009A370F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multiflorum; </w:t>
      </w:r>
      <w:r w:rsidRPr="009A370F">
        <w:rPr>
          <w:rFonts w:ascii="Arial" w:hAnsi="Arial" w:cs="Arial"/>
          <w:color w:val="000000"/>
          <w:sz w:val="20"/>
          <w:szCs w:val="20"/>
          <w:lang w:val="en-US"/>
        </w:rPr>
        <w:t>weed; clethodim; fluazifop-butyl; quizalofop-p-ethyl.</w:t>
      </w:r>
    </w:p>
    <w:p w:rsidR="00576D6A" w:rsidRPr="000270CB" w:rsidRDefault="00576D6A" w:rsidP="00765E04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868A4" w:rsidRPr="00497B04" w:rsidRDefault="004C474B" w:rsidP="00765E04">
      <w:pPr>
        <w:spacing w:line="480" w:lineRule="auto"/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497B04">
        <w:rPr>
          <w:rFonts w:ascii="Arial" w:hAnsi="Arial" w:cs="Arial"/>
          <w:b/>
          <w:sz w:val="20"/>
          <w:szCs w:val="20"/>
          <w:lang w:val="en-US"/>
        </w:rPr>
        <w:t>Introduction</w:t>
      </w:r>
    </w:p>
    <w:p w:rsidR="0049164C" w:rsidRPr="00497B04" w:rsidRDefault="009958BC" w:rsidP="00765E0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lang w:val="en-US"/>
        </w:rPr>
      </w:pPr>
      <w:r w:rsidRPr="00497B04">
        <w:rPr>
          <w:rFonts w:ascii="Arial" w:hAnsi="Arial" w:cs="Arial"/>
          <w:sz w:val="20"/>
          <w:szCs w:val="20"/>
          <w:lang w:val="en-US" w:eastAsia="pt-BR"/>
        </w:rPr>
        <w:tab/>
      </w:r>
      <w:r w:rsidR="006F0650" w:rsidRPr="00497B04">
        <w:rPr>
          <w:rFonts w:ascii="Arial" w:hAnsi="Arial" w:cs="Arial"/>
          <w:sz w:val="20"/>
          <w:szCs w:val="20"/>
          <w:lang w:val="en-US" w:eastAsia="pt-BR"/>
        </w:rPr>
        <w:t>W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>eed and crops used as ground cover</w:t>
      </w:r>
      <w:r w:rsidR="000270CB" w:rsidRPr="00497B04">
        <w:rPr>
          <w:rFonts w:ascii="Arial" w:hAnsi="Arial" w:cs="Arial"/>
          <w:sz w:val="20"/>
          <w:szCs w:val="20"/>
          <w:lang w:val="en-US" w:eastAsia="pt-BR"/>
        </w:rPr>
        <w:t xml:space="preserve"> </w:t>
      </w:r>
      <w:r w:rsidR="00D77DB9">
        <w:rPr>
          <w:rFonts w:ascii="Arial" w:hAnsi="Arial" w:cs="Arial"/>
          <w:sz w:val="20"/>
          <w:szCs w:val="20"/>
          <w:lang w:val="en-US" w:eastAsia="pt-BR"/>
        </w:rPr>
        <w:t>burndown</w:t>
      </w:r>
      <w:r w:rsidR="000501C7">
        <w:rPr>
          <w:rFonts w:ascii="Arial" w:hAnsi="Arial" w:cs="Arial"/>
          <w:sz w:val="20"/>
          <w:szCs w:val="20"/>
          <w:lang w:val="en-US" w:eastAsia="pt-BR"/>
        </w:rPr>
        <w:t xml:space="preserve"> </w:t>
      </w:r>
      <w:r w:rsidR="006F0650" w:rsidRPr="00497B04">
        <w:rPr>
          <w:rFonts w:ascii="Arial" w:hAnsi="Arial" w:cs="Arial"/>
          <w:sz w:val="20"/>
          <w:szCs w:val="20"/>
          <w:lang w:val="en-US" w:eastAsia="pt-BR"/>
        </w:rPr>
        <w:t xml:space="preserve">practice 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>is important for</w:t>
      </w:r>
      <w:r w:rsidR="000270CB" w:rsidRPr="00497B04">
        <w:rPr>
          <w:rFonts w:ascii="Arial" w:hAnsi="Arial" w:cs="Arial"/>
          <w:sz w:val="20"/>
          <w:szCs w:val="20"/>
          <w:lang w:val="en-US" w:eastAsia="pt-BR"/>
        </w:rPr>
        <w:t xml:space="preserve"> a crop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 xml:space="preserve"> proper establishment</w:t>
      </w:r>
      <w:r w:rsidR="000270CB" w:rsidRPr="00497B04">
        <w:rPr>
          <w:rFonts w:ascii="Arial" w:hAnsi="Arial" w:cs="Arial"/>
          <w:sz w:val="20"/>
          <w:szCs w:val="20"/>
          <w:lang w:val="en-US" w:eastAsia="pt-BR"/>
        </w:rPr>
        <w:t>. The presence of weeds</w:t>
      </w:r>
      <w:r w:rsidR="000501C7">
        <w:rPr>
          <w:rFonts w:ascii="Arial" w:hAnsi="Arial" w:cs="Arial"/>
          <w:sz w:val="20"/>
          <w:szCs w:val="20"/>
          <w:lang w:val="en-US" w:eastAsia="pt-BR"/>
        </w:rPr>
        <w:t xml:space="preserve"> </w:t>
      </w:r>
      <w:r w:rsidR="000270CB" w:rsidRPr="00497B04">
        <w:rPr>
          <w:rFonts w:ascii="Arial" w:hAnsi="Arial" w:cs="Arial"/>
          <w:sz w:val="20"/>
          <w:szCs w:val="20"/>
          <w:lang w:val="en-US" w:eastAsia="pt-BR"/>
        </w:rPr>
        <w:t xml:space="preserve">remnant from </w:t>
      </w:r>
      <w:r w:rsidR="00D77DB9">
        <w:rPr>
          <w:rFonts w:ascii="Arial" w:hAnsi="Arial" w:cs="Arial"/>
          <w:sz w:val="20"/>
          <w:szCs w:val="20"/>
          <w:lang w:val="en-US" w:eastAsia="pt-BR"/>
        </w:rPr>
        <w:t>bur</w:t>
      </w:r>
      <w:r w:rsidR="00783319">
        <w:rPr>
          <w:rFonts w:ascii="Arial" w:hAnsi="Arial" w:cs="Arial"/>
          <w:sz w:val="20"/>
          <w:szCs w:val="20"/>
          <w:lang w:val="en-US" w:eastAsia="pt-BR"/>
        </w:rPr>
        <w:t>n</w:t>
      </w:r>
      <w:r w:rsidR="00D77DB9">
        <w:rPr>
          <w:rFonts w:ascii="Arial" w:hAnsi="Arial" w:cs="Arial"/>
          <w:sz w:val="20"/>
          <w:szCs w:val="20"/>
          <w:lang w:val="en-US" w:eastAsia="pt-BR"/>
        </w:rPr>
        <w:t>down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 xml:space="preserve"> </w:t>
      </w:r>
      <w:r w:rsidR="000270CB" w:rsidRPr="00497B04">
        <w:rPr>
          <w:rFonts w:ascii="Arial" w:hAnsi="Arial" w:cs="Arial"/>
          <w:sz w:val="20"/>
          <w:szCs w:val="20"/>
          <w:lang w:val="en-US" w:eastAsia="pt-BR"/>
        </w:rPr>
        <w:t xml:space="preserve">or from a new emergency flow, 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>simultaneously with emergence</w:t>
      </w:r>
      <w:r w:rsidR="000270CB" w:rsidRPr="00497B04">
        <w:rPr>
          <w:rFonts w:ascii="Arial" w:hAnsi="Arial" w:cs="Arial"/>
          <w:sz w:val="20"/>
          <w:szCs w:val="20"/>
          <w:lang w:val="en-US" w:eastAsia="pt-BR"/>
        </w:rPr>
        <w:t xml:space="preserve"> culture, causes damage both in the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 xml:space="preserve"> quan</w:t>
      </w:r>
      <w:r w:rsidR="000270CB" w:rsidRPr="00497B04">
        <w:rPr>
          <w:rFonts w:ascii="Arial" w:hAnsi="Arial" w:cs="Arial"/>
          <w:sz w:val="20"/>
          <w:szCs w:val="20"/>
          <w:lang w:val="en-US" w:eastAsia="pt-BR"/>
        </w:rPr>
        <w:t>tity and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 xml:space="preserve"> qu</w:t>
      </w:r>
      <w:r w:rsidR="000270CB" w:rsidRPr="00497B04">
        <w:rPr>
          <w:rFonts w:ascii="Arial" w:hAnsi="Arial" w:cs="Arial"/>
          <w:sz w:val="20"/>
          <w:szCs w:val="20"/>
          <w:lang w:val="en-US" w:eastAsia="pt-BR"/>
        </w:rPr>
        <w:t>ality of harvested grain</w:t>
      </w:r>
      <w:r w:rsidR="00E92D71" w:rsidRPr="00497B04">
        <w:rPr>
          <w:rFonts w:ascii="Arial" w:hAnsi="Arial" w:cs="Arial"/>
          <w:sz w:val="20"/>
          <w:szCs w:val="20"/>
          <w:lang w:val="en-US" w:eastAsia="pt-BR"/>
        </w:rPr>
        <w:t>s</w:t>
      </w:r>
      <w:r w:rsidR="000270CB" w:rsidRPr="00497B04">
        <w:rPr>
          <w:rFonts w:ascii="Arial" w:hAnsi="Arial" w:cs="Arial"/>
          <w:sz w:val="20"/>
          <w:szCs w:val="20"/>
          <w:lang w:val="en-US" w:eastAsia="pt-BR"/>
        </w:rPr>
        <w:t xml:space="preserve"> (CAMPOS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 xml:space="preserve"> et al., 2012). Especially in wheat and corn crops,</w:t>
      </w:r>
      <w:r w:rsidR="00E92D71" w:rsidRPr="00497B04">
        <w:rPr>
          <w:rFonts w:ascii="Arial" w:hAnsi="Arial" w:cs="Arial"/>
          <w:sz w:val="20"/>
          <w:szCs w:val="20"/>
          <w:lang w:val="en-US" w:eastAsia="pt-BR"/>
        </w:rPr>
        <w:t xml:space="preserve"> the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 xml:space="preserve"> ryegrass (</w:t>
      </w:r>
      <w:r w:rsidR="004C474B" w:rsidRPr="00497B04">
        <w:rPr>
          <w:rFonts w:ascii="Arial" w:hAnsi="Arial" w:cs="Arial"/>
          <w:i/>
          <w:sz w:val="20"/>
          <w:szCs w:val="20"/>
          <w:lang w:val="en-US" w:eastAsia="pt-BR"/>
        </w:rPr>
        <w:t>Lolium</w:t>
      </w:r>
      <w:r w:rsidR="000501C7">
        <w:rPr>
          <w:rFonts w:ascii="Arial" w:hAnsi="Arial" w:cs="Arial"/>
          <w:i/>
          <w:sz w:val="20"/>
          <w:szCs w:val="20"/>
          <w:lang w:val="en-US" w:eastAsia="pt-BR"/>
        </w:rPr>
        <w:t xml:space="preserve"> </w:t>
      </w:r>
      <w:r w:rsidR="004C474B" w:rsidRPr="00497B04">
        <w:rPr>
          <w:rFonts w:ascii="Arial" w:hAnsi="Arial" w:cs="Arial"/>
          <w:i/>
          <w:sz w:val="20"/>
          <w:szCs w:val="20"/>
          <w:lang w:val="en-US" w:eastAsia="pt-BR"/>
        </w:rPr>
        <w:t>multiflorum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 xml:space="preserve">), </w:t>
      </w:r>
      <w:r w:rsidR="00E92D71" w:rsidRPr="00497B04">
        <w:rPr>
          <w:rFonts w:ascii="Arial" w:hAnsi="Arial" w:cs="Arial"/>
          <w:sz w:val="20"/>
          <w:szCs w:val="20"/>
          <w:lang w:val="en-US" w:eastAsia="pt-BR"/>
        </w:rPr>
        <w:t xml:space="preserve">a 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 xml:space="preserve">forage annual species native of southern Europe, constitutes one of the main weed species in southern Brazil. In the </w:t>
      </w:r>
      <w:r w:rsidR="00E92D71" w:rsidRPr="00497B04">
        <w:rPr>
          <w:rFonts w:ascii="Arial" w:hAnsi="Arial" w:cs="Arial"/>
          <w:sz w:val="20"/>
          <w:szCs w:val="20"/>
          <w:lang w:val="en-US" w:eastAsia="pt-BR"/>
        </w:rPr>
        <w:t xml:space="preserve">soybean culture, it 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>is important in c</w:t>
      </w:r>
      <w:r w:rsidR="00B75E53">
        <w:rPr>
          <w:rFonts w:ascii="Arial" w:hAnsi="Arial" w:cs="Arial"/>
          <w:sz w:val="20"/>
          <w:szCs w:val="20"/>
          <w:lang w:val="en-US" w:eastAsia="pt-BR"/>
        </w:rPr>
        <w:t>rops grown at the beginning of o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>ctober in Rio Grande do Sul. Glyphosate stands out as the most widely used herbicide for</w:t>
      </w:r>
      <w:r w:rsidR="00E92D71" w:rsidRPr="00497B04">
        <w:rPr>
          <w:rFonts w:ascii="Arial" w:hAnsi="Arial" w:cs="Arial"/>
          <w:sz w:val="20"/>
          <w:szCs w:val="20"/>
          <w:lang w:val="en-US" w:eastAsia="pt-BR"/>
        </w:rPr>
        <w:t xml:space="preserve"> ryegrass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 xml:space="preserve"> control before wheat, corn and soybean </w:t>
      </w:r>
      <w:r w:rsidR="00E92D71" w:rsidRPr="00497B04">
        <w:rPr>
          <w:rFonts w:ascii="Arial" w:hAnsi="Arial" w:cs="Arial"/>
          <w:sz w:val="20"/>
          <w:szCs w:val="20"/>
          <w:lang w:val="en-US" w:eastAsia="pt-BR"/>
        </w:rPr>
        <w:t>sowing under no-tillage system</w:t>
      </w:r>
      <w:r w:rsidR="004C474B" w:rsidRPr="00497B04">
        <w:rPr>
          <w:rFonts w:ascii="Arial" w:hAnsi="Arial" w:cs="Arial"/>
          <w:sz w:val="20"/>
          <w:szCs w:val="20"/>
          <w:lang w:val="en-US" w:eastAsia="pt-BR"/>
        </w:rPr>
        <w:t>.</w:t>
      </w:r>
    </w:p>
    <w:p w:rsidR="0049164C" w:rsidRPr="00497B04" w:rsidRDefault="00283CB2" w:rsidP="00B92315">
      <w:pPr>
        <w:pStyle w:val="Recuodecorpodetexto"/>
        <w:spacing w:line="480" w:lineRule="auto"/>
        <w:ind w:firstLine="720"/>
        <w:rPr>
          <w:rFonts w:cs="Arial"/>
          <w:sz w:val="20"/>
          <w:lang w:val="en-US"/>
        </w:rPr>
      </w:pPr>
      <w:r w:rsidRPr="00497B04">
        <w:rPr>
          <w:rFonts w:cs="Arial"/>
          <w:sz w:val="20"/>
          <w:lang w:val="en-US"/>
        </w:rPr>
        <w:t>Glyphosate inhibit</w:t>
      </w:r>
      <w:r w:rsidR="0093623F" w:rsidRPr="00497B04">
        <w:rPr>
          <w:rFonts w:cs="Arial"/>
          <w:sz w:val="20"/>
          <w:lang w:val="en-US"/>
        </w:rPr>
        <w:t>s</w:t>
      </w:r>
      <w:r w:rsidR="00A84548" w:rsidRPr="00497B04">
        <w:rPr>
          <w:rFonts w:cs="Arial"/>
          <w:sz w:val="20"/>
          <w:lang w:val="en-US"/>
        </w:rPr>
        <w:t xml:space="preserve"> the</w:t>
      </w:r>
      <w:r w:rsidR="000501C7">
        <w:rPr>
          <w:rFonts w:cs="Arial"/>
          <w:sz w:val="20"/>
          <w:lang w:val="en-US"/>
        </w:rPr>
        <w:t xml:space="preserve"> </w:t>
      </w:r>
      <w:r w:rsidR="004C474B" w:rsidRPr="00497B04">
        <w:rPr>
          <w:rFonts w:cs="Arial"/>
          <w:sz w:val="20"/>
          <w:lang w:val="en-US"/>
        </w:rPr>
        <w:t>EPSPS (</w:t>
      </w:r>
      <w:r w:rsidR="000501C7">
        <w:rPr>
          <w:rFonts w:cs="Arial"/>
          <w:sz w:val="20"/>
          <w:lang w:val="en-US"/>
        </w:rPr>
        <w:t>5-</w:t>
      </w:r>
      <w:r w:rsidR="004C474B" w:rsidRPr="00497B04">
        <w:rPr>
          <w:rFonts w:cs="Arial"/>
          <w:sz w:val="20"/>
          <w:lang w:val="en-US"/>
        </w:rPr>
        <w:t xml:space="preserve">enolpyruvylshikimate </w:t>
      </w:r>
      <w:r w:rsidR="000501C7">
        <w:rPr>
          <w:rFonts w:cs="Arial"/>
          <w:sz w:val="20"/>
          <w:lang w:val="en-US"/>
        </w:rPr>
        <w:t>3-</w:t>
      </w:r>
      <w:r w:rsidR="004C474B" w:rsidRPr="00497B04">
        <w:rPr>
          <w:rFonts w:cs="Arial"/>
          <w:sz w:val="20"/>
          <w:lang w:val="en-US"/>
        </w:rPr>
        <w:t>phosphate synthase)</w:t>
      </w:r>
      <w:r w:rsidRPr="00497B04">
        <w:rPr>
          <w:rFonts w:cs="Arial"/>
          <w:sz w:val="20"/>
          <w:lang w:val="en-US"/>
        </w:rPr>
        <w:t xml:space="preserve"> enzyme, which</w:t>
      </w:r>
      <w:r w:rsidR="004C474B" w:rsidRPr="00497B04">
        <w:rPr>
          <w:rFonts w:cs="Arial"/>
          <w:sz w:val="20"/>
          <w:lang w:val="en-US"/>
        </w:rPr>
        <w:t xml:space="preserve"> participates in amino acid</w:t>
      </w:r>
      <w:r w:rsidR="0093623F" w:rsidRPr="00497B04">
        <w:rPr>
          <w:rFonts w:cs="Arial"/>
          <w:sz w:val="20"/>
          <w:lang w:val="en-US"/>
        </w:rPr>
        <w:t>s</w:t>
      </w:r>
      <w:r w:rsidR="004C474B" w:rsidRPr="00497B04">
        <w:rPr>
          <w:rFonts w:cs="Arial"/>
          <w:sz w:val="20"/>
          <w:lang w:val="en-US"/>
        </w:rPr>
        <w:t xml:space="preserve"> synthesis</w:t>
      </w:r>
      <w:r w:rsidRPr="00497B04">
        <w:rPr>
          <w:rFonts w:cs="Arial"/>
          <w:sz w:val="20"/>
          <w:lang w:val="en-US"/>
        </w:rPr>
        <w:t xml:space="preserve"> route</w:t>
      </w:r>
      <w:r w:rsidR="000501C7">
        <w:rPr>
          <w:rFonts w:cs="Arial"/>
          <w:sz w:val="20"/>
          <w:lang w:val="en-US"/>
        </w:rPr>
        <w:t xml:space="preserve"> </w:t>
      </w:r>
      <w:r w:rsidRPr="00497B04">
        <w:rPr>
          <w:rFonts w:cs="Arial"/>
          <w:sz w:val="20"/>
          <w:lang w:val="en-US"/>
        </w:rPr>
        <w:t>(RUAS</w:t>
      </w:r>
      <w:r w:rsidR="004C474B" w:rsidRPr="00497B04">
        <w:rPr>
          <w:rFonts w:cs="Arial"/>
          <w:sz w:val="20"/>
          <w:lang w:val="en-US"/>
        </w:rPr>
        <w:t xml:space="preserve"> et al., 2012). </w:t>
      </w:r>
      <w:r w:rsidR="000C0F51" w:rsidRPr="00497B04">
        <w:rPr>
          <w:rFonts w:cs="Arial"/>
          <w:sz w:val="20"/>
          <w:lang w:val="en-US"/>
        </w:rPr>
        <w:t xml:space="preserve">Enzyme </w:t>
      </w:r>
      <w:r w:rsidR="00A84548" w:rsidRPr="00497B04">
        <w:rPr>
          <w:rFonts w:cs="Arial"/>
          <w:sz w:val="20"/>
          <w:lang w:val="en-US"/>
        </w:rPr>
        <w:t>i</w:t>
      </w:r>
      <w:r w:rsidR="004C474B" w:rsidRPr="00497B04">
        <w:rPr>
          <w:rFonts w:cs="Arial"/>
          <w:sz w:val="20"/>
          <w:lang w:val="en-US"/>
        </w:rPr>
        <w:t xml:space="preserve">nhibition </w:t>
      </w:r>
      <w:r w:rsidR="000C0F51" w:rsidRPr="00497B04">
        <w:rPr>
          <w:rFonts w:cs="Arial"/>
          <w:sz w:val="20"/>
          <w:lang w:val="en-US"/>
        </w:rPr>
        <w:t>results in</w:t>
      </w:r>
      <w:r w:rsidR="000501C7">
        <w:rPr>
          <w:rFonts w:cs="Arial"/>
          <w:sz w:val="20"/>
          <w:lang w:val="en-US"/>
        </w:rPr>
        <w:t xml:space="preserve"> </w:t>
      </w:r>
      <w:r w:rsidR="004C474B" w:rsidRPr="00497B04">
        <w:rPr>
          <w:rFonts w:cs="Arial"/>
          <w:sz w:val="20"/>
          <w:lang w:val="en-US"/>
        </w:rPr>
        <w:t>shikimic acid accumulation in plants and in</w:t>
      </w:r>
      <w:r w:rsidR="000C0F51" w:rsidRPr="00497B04">
        <w:rPr>
          <w:rFonts w:cs="Arial"/>
          <w:sz w:val="20"/>
          <w:lang w:val="en-US"/>
        </w:rPr>
        <w:t xml:space="preserve"> the reduction</w:t>
      </w:r>
      <w:r w:rsidR="004C474B" w:rsidRPr="00497B04">
        <w:rPr>
          <w:rFonts w:cs="Arial"/>
          <w:sz w:val="20"/>
          <w:lang w:val="en-US"/>
        </w:rPr>
        <w:t xml:space="preserve"> of aromatic amino acids phenylalanine, tyrosine and tryptophan </w:t>
      </w:r>
      <w:r w:rsidR="000C0F51" w:rsidRPr="00497B04">
        <w:rPr>
          <w:rFonts w:cs="Arial"/>
          <w:sz w:val="20"/>
          <w:lang w:val="en-US"/>
        </w:rPr>
        <w:t>synthesis (MOREIRA</w:t>
      </w:r>
      <w:r w:rsidR="004C474B" w:rsidRPr="00497B04">
        <w:rPr>
          <w:rFonts w:cs="Arial"/>
          <w:sz w:val="20"/>
          <w:lang w:val="en-US"/>
        </w:rPr>
        <w:t xml:space="preserve"> et al., 2010). This herbicide has </w:t>
      </w:r>
      <w:r w:rsidR="0093623F" w:rsidRPr="00497B04">
        <w:rPr>
          <w:rFonts w:cs="Arial"/>
          <w:sz w:val="20"/>
          <w:lang w:val="en-US"/>
        </w:rPr>
        <w:t>a broad weeds control spectrum</w:t>
      </w:r>
      <w:r w:rsidR="004C474B" w:rsidRPr="00497B04">
        <w:rPr>
          <w:rFonts w:cs="Arial"/>
          <w:sz w:val="20"/>
          <w:lang w:val="en-US"/>
        </w:rPr>
        <w:t>, relatively low cost, high efficiency over different species</w:t>
      </w:r>
      <w:r w:rsidR="0093623F" w:rsidRPr="00497B04">
        <w:rPr>
          <w:rFonts w:cs="Arial"/>
          <w:sz w:val="20"/>
          <w:lang w:val="en-US"/>
        </w:rPr>
        <w:t xml:space="preserve"> and ease of application (VARGAS</w:t>
      </w:r>
      <w:r w:rsidR="004C474B" w:rsidRPr="00497B04">
        <w:rPr>
          <w:rFonts w:cs="Arial"/>
          <w:sz w:val="20"/>
          <w:lang w:val="en-US"/>
        </w:rPr>
        <w:t xml:space="preserve"> et al., 2004). Further</w:t>
      </w:r>
      <w:r w:rsidR="0093623F" w:rsidRPr="00497B04">
        <w:rPr>
          <w:rFonts w:cs="Arial"/>
          <w:sz w:val="20"/>
          <w:lang w:val="en-US"/>
        </w:rPr>
        <w:t>more, its</w:t>
      </w:r>
      <w:r w:rsidR="004C474B" w:rsidRPr="00497B04">
        <w:rPr>
          <w:rFonts w:cs="Arial"/>
          <w:sz w:val="20"/>
          <w:lang w:val="en-US"/>
        </w:rPr>
        <w:t xml:space="preserve"> use expands when it comes to genetically modified cro</w:t>
      </w:r>
      <w:r w:rsidR="0093623F" w:rsidRPr="00497B04">
        <w:rPr>
          <w:rFonts w:cs="Arial"/>
          <w:sz w:val="20"/>
          <w:lang w:val="en-US"/>
        </w:rPr>
        <w:t>ps resistant to glyphosate (MELO</w:t>
      </w:r>
      <w:r w:rsidR="004C474B" w:rsidRPr="00497B04">
        <w:rPr>
          <w:rFonts w:cs="Arial"/>
          <w:sz w:val="20"/>
          <w:lang w:val="en-US"/>
        </w:rPr>
        <w:t xml:space="preserve"> et al., 2012). </w:t>
      </w:r>
      <w:r w:rsidR="00947A20" w:rsidRPr="00497B04">
        <w:rPr>
          <w:rFonts w:cs="Arial"/>
          <w:sz w:val="20"/>
          <w:lang w:val="en-US"/>
        </w:rPr>
        <w:t>I</w:t>
      </w:r>
      <w:r w:rsidR="004C474B" w:rsidRPr="00497B04">
        <w:rPr>
          <w:rFonts w:cs="Arial"/>
          <w:sz w:val="20"/>
          <w:lang w:val="en-US"/>
        </w:rPr>
        <w:t xml:space="preserve">ntensive </w:t>
      </w:r>
      <w:r w:rsidR="00947A20" w:rsidRPr="00497B04">
        <w:rPr>
          <w:rFonts w:cs="Arial"/>
          <w:sz w:val="20"/>
          <w:lang w:val="en-US"/>
        </w:rPr>
        <w:t>glyphosate use, besides increasing</w:t>
      </w:r>
      <w:r w:rsidR="004C474B" w:rsidRPr="00497B04">
        <w:rPr>
          <w:rFonts w:cs="Arial"/>
          <w:sz w:val="20"/>
          <w:lang w:val="en-US"/>
        </w:rPr>
        <w:t xml:space="preserve"> resistant plants</w:t>
      </w:r>
      <w:r w:rsidR="00947A20" w:rsidRPr="00497B04">
        <w:rPr>
          <w:rFonts w:cs="Arial"/>
          <w:sz w:val="20"/>
          <w:lang w:val="en-US"/>
        </w:rPr>
        <w:t xml:space="preserve"> selection risk, also causes weed</w:t>
      </w:r>
      <w:r w:rsidR="004C474B" w:rsidRPr="00497B04">
        <w:rPr>
          <w:rFonts w:cs="Arial"/>
          <w:sz w:val="20"/>
          <w:lang w:val="en-US"/>
        </w:rPr>
        <w:t xml:space="preserve"> change, due to selection of species with increased t</w:t>
      </w:r>
      <w:r w:rsidR="00947A20" w:rsidRPr="00497B04">
        <w:rPr>
          <w:rFonts w:cs="Arial"/>
          <w:sz w:val="20"/>
          <w:lang w:val="en-US"/>
        </w:rPr>
        <w:t>olerance to the product (MOREIRA</w:t>
      </w:r>
      <w:r w:rsidR="004C474B" w:rsidRPr="00497B04">
        <w:rPr>
          <w:rFonts w:cs="Arial"/>
          <w:sz w:val="20"/>
          <w:lang w:val="en-US"/>
        </w:rPr>
        <w:t xml:space="preserve"> et al., 2010).</w:t>
      </w:r>
    </w:p>
    <w:p w:rsidR="00BD7C3D" w:rsidRPr="00497B04" w:rsidRDefault="004A633E" w:rsidP="00EE1553">
      <w:pPr>
        <w:pStyle w:val="Recuodecorpodetexto"/>
        <w:spacing w:line="480" w:lineRule="auto"/>
        <w:ind w:firstLine="720"/>
        <w:rPr>
          <w:rFonts w:cs="Arial"/>
          <w:sz w:val="20"/>
          <w:lang w:val="en-US"/>
        </w:rPr>
      </w:pPr>
      <w:r w:rsidRPr="00497B04">
        <w:rPr>
          <w:rFonts w:cs="Arial"/>
          <w:sz w:val="20"/>
          <w:lang w:val="en-US"/>
        </w:rPr>
        <w:t xml:space="preserve">The </w:t>
      </w:r>
      <w:r w:rsidR="004C474B" w:rsidRPr="00497B04">
        <w:rPr>
          <w:rFonts w:cs="Arial"/>
          <w:sz w:val="20"/>
          <w:lang w:val="en-US"/>
        </w:rPr>
        <w:t>low use of effe</w:t>
      </w:r>
      <w:r w:rsidRPr="00497B04">
        <w:rPr>
          <w:rFonts w:cs="Arial"/>
          <w:sz w:val="20"/>
          <w:lang w:val="en-US"/>
        </w:rPr>
        <w:t>ctive herbicides on ryegrass with glyphosate</w:t>
      </w:r>
      <w:r w:rsidR="004C474B" w:rsidRPr="00497B04">
        <w:rPr>
          <w:rFonts w:cs="Arial"/>
          <w:sz w:val="20"/>
          <w:lang w:val="en-US"/>
        </w:rPr>
        <w:t xml:space="preserve"> alternative mechanisms</w:t>
      </w:r>
      <w:r w:rsidR="00DF16EC">
        <w:rPr>
          <w:rFonts w:cs="Arial"/>
          <w:sz w:val="20"/>
          <w:lang w:val="en-US"/>
        </w:rPr>
        <w:t xml:space="preserve"> of action</w:t>
      </w:r>
      <w:r w:rsidRPr="00497B04">
        <w:rPr>
          <w:rFonts w:cs="Arial"/>
          <w:sz w:val="20"/>
          <w:lang w:val="en-US"/>
        </w:rPr>
        <w:t xml:space="preserve"> intensifies resistant biotypes </w:t>
      </w:r>
      <w:r w:rsidR="004C474B" w:rsidRPr="00497B04">
        <w:rPr>
          <w:rFonts w:cs="Arial"/>
          <w:sz w:val="20"/>
          <w:lang w:val="en-US"/>
        </w:rPr>
        <w:t xml:space="preserve">selection process.The biggest problems are noticed in </w:t>
      </w:r>
      <w:r w:rsidR="00783319">
        <w:rPr>
          <w:rFonts w:cs="Arial"/>
          <w:sz w:val="20"/>
          <w:lang w:val="en-US"/>
        </w:rPr>
        <w:t>burndown</w:t>
      </w:r>
      <w:r w:rsidR="000501C7">
        <w:rPr>
          <w:rFonts w:cs="Arial"/>
          <w:sz w:val="20"/>
          <w:lang w:val="en-US"/>
        </w:rPr>
        <w:t xml:space="preserve"> </w:t>
      </w:r>
      <w:r w:rsidR="00625D0A" w:rsidRPr="00497B04">
        <w:rPr>
          <w:rFonts w:cs="Arial"/>
          <w:sz w:val="20"/>
          <w:lang w:val="en-US"/>
        </w:rPr>
        <w:t>prece</w:t>
      </w:r>
      <w:r w:rsidR="00E2669D" w:rsidRPr="00497B04">
        <w:rPr>
          <w:rFonts w:cs="Arial"/>
          <w:sz w:val="20"/>
          <w:lang w:val="en-US"/>
        </w:rPr>
        <w:t>ding</w:t>
      </w:r>
      <w:r w:rsidR="000501C7">
        <w:rPr>
          <w:rFonts w:cs="Arial"/>
          <w:sz w:val="20"/>
          <w:lang w:val="en-US"/>
        </w:rPr>
        <w:t xml:space="preserve"> </w:t>
      </w:r>
      <w:r w:rsidR="00625D0A" w:rsidRPr="00497B04">
        <w:rPr>
          <w:rFonts w:cs="Arial"/>
          <w:sz w:val="20"/>
          <w:lang w:val="en-US"/>
        </w:rPr>
        <w:t>seeding and are related to glyphosate</w:t>
      </w:r>
      <w:r w:rsidR="004C474B" w:rsidRPr="00497B04">
        <w:rPr>
          <w:rFonts w:cs="Arial"/>
          <w:sz w:val="20"/>
          <w:lang w:val="en-US"/>
        </w:rPr>
        <w:t xml:space="preserve"> individual use </w:t>
      </w:r>
      <w:r w:rsidR="00625D0A" w:rsidRPr="00497B04">
        <w:rPr>
          <w:rFonts w:cs="Arial"/>
          <w:sz w:val="20"/>
          <w:lang w:val="en-US"/>
        </w:rPr>
        <w:t>in</w:t>
      </w:r>
      <w:r w:rsidR="004C474B" w:rsidRPr="00497B04">
        <w:rPr>
          <w:rFonts w:cs="Arial"/>
          <w:sz w:val="20"/>
          <w:lang w:val="en-US"/>
        </w:rPr>
        <w:t xml:space="preserve"> ryegrass</w:t>
      </w:r>
      <w:r w:rsidR="00625D0A" w:rsidRPr="00497B04">
        <w:rPr>
          <w:rFonts w:cs="Arial"/>
          <w:sz w:val="20"/>
          <w:lang w:val="en-US"/>
        </w:rPr>
        <w:t xml:space="preserve"> control</w:t>
      </w:r>
      <w:r w:rsidR="004C474B" w:rsidRPr="00497B04">
        <w:rPr>
          <w:rFonts w:cs="Arial"/>
          <w:sz w:val="20"/>
          <w:lang w:val="en-US"/>
        </w:rPr>
        <w:t xml:space="preserve">. In Brazil, this species has biotypes </w:t>
      </w:r>
      <w:r w:rsidR="004C474B" w:rsidRPr="00497B04">
        <w:rPr>
          <w:rFonts w:cs="Arial"/>
          <w:sz w:val="20"/>
          <w:lang w:val="en-US"/>
        </w:rPr>
        <w:lastRenderedPageBreak/>
        <w:t xml:space="preserve">resistant to EPSPS inhibitors and biotypes </w:t>
      </w:r>
      <w:r w:rsidR="00E2669D" w:rsidRPr="00497B04">
        <w:rPr>
          <w:rFonts w:cs="Arial"/>
          <w:sz w:val="20"/>
          <w:lang w:val="en-US"/>
        </w:rPr>
        <w:t xml:space="preserve">resistant to ALS inhibitors, besides having </w:t>
      </w:r>
      <w:r w:rsidR="004C474B" w:rsidRPr="00497B04">
        <w:rPr>
          <w:rFonts w:cs="Arial"/>
          <w:sz w:val="20"/>
          <w:lang w:val="en-US"/>
        </w:rPr>
        <w:t>resistance</w:t>
      </w:r>
      <w:r w:rsidR="00E2669D" w:rsidRPr="00497B04">
        <w:rPr>
          <w:rFonts w:cs="Arial"/>
          <w:sz w:val="20"/>
          <w:lang w:val="en-US"/>
        </w:rPr>
        <w:t xml:space="preserve"> to both EPSPS inhibitors and</w:t>
      </w:r>
      <w:r w:rsidR="000501C7">
        <w:rPr>
          <w:rFonts w:cs="Arial"/>
          <w:sz w:val="20"/>
          <w:lang w:val="en-US"/>
        </w:rPr>
        <w:t xml:space="preserve"> </w:t>
      </w:r>
      <w:r w:rsidR="004C474B" w:rsidRPr="00497B04">
        <w:rPr>
          <w:rFonts w:cs="Arial"/>
          <w:sz w:val="20"/>
          <w:lang w:val="en-US"/>
        </w:rPr>
        <w:t>ACCase inhibitors</w:t>
      </w:r>
      <w:r w:rsidR="00E2669D" w:rsidRPr="00497B04">
        <w:rPr>
          <w:rFonts w:cs="Arial"/>
          <w:sz w:val="20"/>
          <w:lang w:val="en-US"/>
        </w:rPr>
        <w:t xml:space="preserve"> in the same biotype</w:t>
      </w:r>
      <w:r w:rsidR="004C474B" w:rsidRPr="00497B04">
        <w:rPr>
          <w:rFonts w:cs="Arial"/>
          <w:sz w:val="20"/>
          <w:lang w:val="en-US"/>
        </w:rPr>
        <w:t xml:space="preserve"> (HEAP, 2014).</w:t>
      </w:r>
    </w:p>
    <w:p w:rsidR="001E3BA6" w:rsidRPr="00497B04" w:rsidRDefault="001C7243" w:rsidP="00B92315">
      <w:pPr>
        <w:pStyle w:val="Recuodecorpodetexto"/>
        <w:spacing w:line="480" w:lineRule="auto"/>
        <w:ind w:firstLine="72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The control of ryegrass resistant biotypes to glyphosate r</w:t>
      </w:r>
      <w:r w:rsidR="00CF7EF9" w:rsidRPr="00497B04">
        <w:rPr>
          <w:rFonts w:cs="Arial"/>
          <w:sz w:val="20"/>
          <w:lang w:val="en-US"/>
        </w:rPr>
        <w:t>esides in</w:t>
      </w:r>
      <w:r w:rsidR="004C474B" w:rsidRPr="00497B04">
        <w:rPr>
          <w:rFonts w:cs="Arial"/>
          <w:sz w:val="20"/>
          <w:lang w:val="en-US"/>
        </w:rPr>
        <w:t xml:space="preserve"> the use of effective herbicides belonging to alternative</w:t>
      </w:r>
      <w:r w:rsidR="00CF7EF9" w:rsidRPr="00497B04">
        <w:rPr>
          <w:rFonts w:cs="Arial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mechanism of action</w:t>
      </w:r>
      <w:r w:rsidR="00730169" w:rsidRPr="00497B04">
        <w:rPr>
          <w:rFonts w:cs="Arial"/>
          <w:sz w:val="20"/>
          <w:lang w:val="en-US"/>
        </w:rPr>
        <w:t>,</w:t>
      </w:r>
      <w:r w:rsidR="00783319">
        <w:rPr>
          <w:rFonts w:cs="Arial"/>
          <w:sz w:val="20"/>
          <w:lang w:val="en-US"/>
        </w:rPr>
        <w:t xml:space="preserve"> </w:t>
      </w:r>
      <w:r w:rsidR="00CF7EF9" w:rsidRPr="00497B04">
        <w:rPr>
          <w:rFonts w:cs="Arial"/>
          <w:sz w:val="20"/>
          <w:lang w:val="en-US"/>
        </w:rPr>
        <w:t xml:space="preserve">such </w:t>
      </w:r>
      <w:r w:rsidR="004C474B" w:rsidRPr="00497B04">
        <w:rPr>
          <w:rFonts w:cs="Arial"/>
          <w:sz w:val="20"/>
          <w:lang w:val="en-US"/>
        </w:rPr>
        <w:t>as Acetyl Coenzyme A carboxylase (ACCase), Glutamine synthetase (GS)</w:t>
      </w:r>
      <w:r>
        <w:rPr>
          <w:rFonts w:cs="Arial"/>
          <w:sz w:val="20"/>
          <w:lang w:val="en-US"/>
        </w:rPr>
        <w:t>,</w:t>
      </w:r>
      <w:r w:rsidR="004C474B" w:rsidRPr="00497B04">
        <w:rPr>
          <w:rFonts w:cs="Arial"/>
          <w:sz w:val="20"/>
          <w:lang w:val="en-US"/>
        </w:rPr>
        <w:t xml:space="preserve"> photosystem </w:t>
      </w:r>
      <w:r w:rsidR="00783319">
        <w:rPr>
          <w:rFonts w:cs="Arial"/>
          <w:sz w:val="20"/>
          <w:lang w:val="en-US"/>
        </w:rPr>
        <w:t>I</w:t>
      </w:r>
      <w:r>
        <w:rPr>
          <w:rFonts w:cs="Arial"/>
          <w:sz w:val="20"/>
          <w:lang w:val="en-US"/>
        </w:rPr>
        <w:t>,</w:t>
      </w:r>
      <w:r w:rsidR="00730169" w:rsidRPr="00497B04">
        <w:rPr>
          <w:rFonts w:cs="Arial"/>
          <w:sz w:val="20"/>
          <w:lang w:val="en-US"/>
        </w:rPr>
        <w:t xml:space="preserve"> acetolactate synthase (ALS)</w:t>
      </w:r>
      <w:r>
        <w:rPr>
          <w:rFonts w:cs="Arial"/>
          <w:sz w:val="20"/>
          <w:lang w:val="en-US"/>
        </w:rPr>
        <w:t>,</w:t>
      </w:r>
      <w:r w:rsidR="004C474B" w:rsidRPr="00497B04">
        <w:rPr>
          <w:rFonts w:cs="Arial"/>
          <w:sz w:val="20"/>
          <w:lang w:val="en-US"/>
        </w:rPr>
        <w:t xml:space="preserve"> mitosis and photosystem 2</w:t>
      </w:r>
      <w:r w:rsidR="00730169" w:rsidRPr="00497B04">
        <w:rPr>
          <w:rFonts w:cs="Arial"/>
          <w:sz w:val="20"/>
          <w:lang w:val="en-US"/>
        </w:rPr>
        <w:t xml:space="preserve"> inhibitors</w:t>
      </w:r>
      <w:r>
        <w:rPr>
          <w:rFonts w:cs="Arial"/>
          <w:sz w:val="20"/>
          <w:lang w:val="en-US"/>
        </w:rPr>
        <w:t xml:space="preserve"> </w:t>
      </w:r>
      <w:r w:rsidRPr="00497B04">
        <w:rPr>
          <w:rFonts w:cs="Arial"/>
          <w:sz w:val="20"/>
          <w:lang w:val="en-US"/>
        </w:rPr>
        <w:t>(ROMAN et al.</w:t>
      </w:r>
      <w:r>
        <w:rPr>
          <w:rFonts w:cs="Arial"/>
          <w:sz w:val="20"/>
          <w:lang w:val="en-US"/>
        </w:rPr>
        <w:t>,</w:t>
      </w:r>
      <w:r w:rsidRPr="00497B04">
        <w:rPr>
          <w:rFonts w:cs="Arial"/>
          <w:sz w:val="20"/>
          <w:lang w:val="en-US"/>
        </w:rPr>
        <w:t xml:space="preserve"> 2004)</w:t>
      </w:r>
      <w:r w:rsidR="004C474B" w:rsidRPr="00497B04">
        <w:rPr>
          <w:rFonts w:cs="Arial"/>
          <w:sz w:val="20"/>
          <w:lang w:val="en-US"/>
        </w:rPr>
        <w:t xml:space="preserve">. </w:t>
      </w:r>
      <w:r w:rsidR="00730169" w:rsidRPr="00497B04">
        <w:rPr>
          <w:rFonts w:cs="Arial"/>
          <w:sz w:val="20"/>
          <w:lang w:val="en-US"/>
        </w:rPr>
        <w:t xml:space="preserve">These </w:t>
      </w:r>
      <w:r w:rsidR="00DF16EC">
        <w:rPr>
          <w:rFonts w:cs="Arial"/>
          <w:sz w:val="20"/>
          <w:lang w:val="en-US"/>
        </w:rPr>
        <w:t xml:space="preserve">mechanism of </w:t>
      </w:r>
      <w:r w:rsidR="00730169" w:rsidRPr="00497B04">
        <w:rPr>
          <w:rFonts w:cs="Arial"/>
          <w:sz w:val="20"/>
          <w:lang w:val="en-US"/>
        </w:rPr>
        <w:t>action herbicides can be use</w:t>
      </w:r>
      <w:r>
        <w:rPr>
          <w:rFonts w:cs="Arial"/>
          <w:sz w:val="20"/>
          <w:lang w:val="en-US"/>
        </w:rPr>
        <w:t xml:space="preserve"> alone</w:t>
      </w:r>
      <w:r w:rsidR="004C474B" w:rsidRPr="00497B04">
        <w:rPr>
          <w:rFonts w:cs="Arial"/>
          <w:sz w:val="20"/>
          <w:lang w:val="en-US"/>
        </w:rPr>
        <w:t xml:space="preserve"> or, if possible, in combination with glyphosate.</w:t>
      </w:r>
    </w:p>
    <w:p w:rsidR="00956D20" w:rsidRPr="00497B04" w:rsidRDefault="004C474B" w:rsidP="000042E7">
      <w:pPr>
        <w:pStyle w:val="Recuodecorpodetexto"/>
        <w:spacing w:line="480" w:lineRule="auto"/>
        <w:ind w:firstLine="720"/>
        <w:rPr>
          <w:rFonts w:cs="Arial"/>
          <w:sz w:val="20"/>
          <w:lang w:val="en-US"/>
        </w:rPr>
      </w:pPr>
      <w:r w:rsidRPr="00497B04">
        <w:rPr>
          <w:rFonts w:cs="Arial"/>
          <w:sz w:val="20"/>
          <w:lang w:val="en-US"/>
        </w:rPr>
        <w:t>When it comes to herbicides associations</w:t>
      </w:r>
      <w:r w:rsidR="009759A4" w:rsidRPr="00497B04">
        <w:rPr>
          <w:rFonts w:cs="Arial"/>
          <w:sz w:val="20"/>
          <w:lang w:val="en-US"/>
        </w:rPr>
        <w:t>,</w:t>
      </w:r>
      <w:r w:rsidR="001C7243">
        <w:rPr>
          <w:rFonts w:cs="Arial"/>
          <w:sz w:val="20"/>
          <w:lang w:val="en-US"/>
        </w:rPr>
        <w:t xml:space="preserve"> </w:t>
      </w:r>
      <w:r w:rsidR="009759A4" w:rsidRPr="00497B04">
        <w:rPr>
          <w:rFonts w:cs="Arial"/>
          <w:sz w:val="20"/>
          <w:lang w:val="en-US"/>
        </w:rPr>
        <w:t xml:space="preserve">it </w:t>
      </w:r>
      <w:r w:rsidRPr="00497B04">
        <w:rPr>
          <w:rFonts w:cs="Arial"/>
          <w:sz w:val="20"/>
          <w:lang w:val="en-US"/>
        </w:rPr>
        <w:t>should be considered that this can result in antagonism, synergism or neutral effect,</w:t>
      </w:r>
      <w:r w:rsidR="002B6133" w:rsidRPr="00497B04">
        <w:rPr>
          <w:rFonts w:cs="Arial"/>
          <w:sz w:val="20"/>
          <w:lang w:val="en-US"/>
        </w:rPr>
        <w:t xml:space="preserve"> consequences of</w:t>
      </w:r>
      <w:r w:rsidRPr="00497B04">
        <w:rPr>
          <w:rFonts w:cs="Arial"/>
          <w:sz w:val="20"/>
          <w:lang w:val="en-US"/>
        </w:rPr>
        <w:t xml:space="preserve"> chemical, physiological or kinetic interactions between products</w:t>
      </w:r>
      <w:r w:rsidR="001C7243">
        <w:rPr>
          <w:rFonts w:cs="Arial"/>
          <w:sz w:val="20"/>
          <w:lang w:val="en-US"/>
        </w:rPr>
        <w:t xml:space="preserve"> </w:t>
      </w:r>
      <w:r w:rsidRPr="00497B04">
        <w:rPr>
          <w:rFonts w:cs="Arial"/>
          <w:sz w:val="20"/>
          <w:lang w:val="en-US"/>
        </w:rPr>
        <w:t>(VIDAL et al., 2010). In addition, weed species respond differently</w:t>
      </w:r>
      <w:r w:rsidR="001A0605" w:rsidRPr="00497B04">
        <w:rPr>
          <w:rFonts w:cs="Arial"/>
          <w:sz w:val="20"/>
          <w:lang w:val="en-US"/>
        </w:rPr>
        <w:t xml:space="preserve"> to </w:t>
      </w:r>
      <w:r w:rsidRPr="00497B04">
        <w:rPr>
          <w:rFonts w:cs="Arial"/>
          <w:sz w:val="20"/>
          <w:lang w:val="en-US"/>
        </w:rPr>
        <w:t xml:space="preserve">herbicides </w:t>
      </w:r>
      <w:r w:rsidR="002B6133" w:rsidRPr="00497B04">
        <w:rPr>
          <w:rFonts w:cs="Arial"/>
          <w:sz w:val="20"/>
          <w:lang w:val="en-US"/>
        </w:rPr>
        <w:t>when</w:t>
      </w:r>
      <w:r w:rsidR="001A0605" w:rsidRPr="00497B04">
        <w:rPr>
          <w:rFonts w:cs="Arial"/>
          <w:sz w:val="20"/>
          <w:lang w:val="en-US"/>
        </w:rPr>
        <w:t xml:space="preserve"> is</w:t>
      </w:r>
      <w:r w:rsidR="002B6133" w:rsidRPr="00497B04">
        <w:rPr>
          <w:rFonts w:cs="Arial"/>
          <w:sz w:val="20"/>
          <w:lang w:val="en-US"/>
        </w:rPr>
        <w:t>olated</w:t>
      </w:r>
      <w:r w:rsidR="001C7243">
        <w:rPr>
          <w:rFonts w:cs="Arial"/>
          <w:sz w:val="20"/>
          <w:lang w:val="en-US"/>
        </w:rPr>
        <w:t xml:space="preserve"> </w:t>
      </w:r>
      <w:r w:rsidR="002B6133" w:rsidRPr="00497B04">
        <w:rPr>
          <w:rFonts w:cs="Arial"/>
          <w:sz w:val="20"/>
          <w:lang w:val="en-US"/>
        </w:rPr>
        <w:t xml:space="preserve">or </w:t>
      </w:r>
      <w:r w:rsidR="00FC1B6D">
        <w:rPr>
          <w:rFonts w:cs="Arial"/>
          <w:sz w:val="20"/>
          <w:lang w:val="en-US"/>
        </w:rPr>
        <w:t>in combination</w:t>
      </w:r>
      <w:r w:rsidR="001A0605" w:rsidRPr="00497B04">
        <w:rPr>
          <w:rFonts w:cs="Arial"/>
          <w:sz w:val="20"/>
          <w:lang w:val="en-US"/>
        </w:rPr>
        <w:t xml:space="preserve"> (BARROSO</w:t>
      </w:r>
      <w:r w:rsidRPr="00497B04">
        <w:rPr>
          <w:rFonts w:cs="Arial"/>
          <w:sz w:val="20"/>
          <w:lang w:val="en-US"/>
        </w:rPr>
        <w:t xml:space="preserve"> et al., 2010) and</w:t>
      </w:r>
      <w:r w:rsidR="001A0605" w:rsidRPr="00497B04">
        <w:rPr>
          <w:rFonts w:cs="Arial"/>
          <w:sz w:val="20"/>
          <w:lang w:val="en-US"/>
        </w:rPr>
        <w:t xml:space="preserve"> in different</w:t>
      </w:r>
      <w:r w:rsidR="001C7243">
        <w:rPr>
          <w:rFonts w:cs="Arial"/>
          <w:sz w:val="20"/>
          <w:lang w:val="en-US"/>
        </w:rPr>
        <w:t xml:space="preserve"> </w:t>
      </w:r>
      <w:r w:rsidR="001A0605" w:rsidRPr="00497B04">
        <w:rPr>
          <w:rFonts w:cs="Arial"/>
          <w:sz w:val="20"/>
          <w:lang w:val="en-US"/>
        </w:rPr>
        <w:t xml:space="preserve">weed plant </w:t>
      </w:r>
      <w:r w:rsidRPr="00497B04">
        <w:rPr>
          <w:rFonts w:cs="Arial"/>
          <w:sz w:val="20"/>
          <w:lang w:val="en-US"/>
        </w:rPr>
        <w:t>stage</w:t>
      </w:r>
      <w:r w:rsidR="001A0605" w:rsidRPr="00497B04">
        <w:rPr>
          <w:rFonts w:cs="Arial"/>
          <w:sz w:val="20"/>
          <w:lang w:val="en-US"/>
        </w:rPr>
        <w:t>s</w:t>
      </w:r>
      <w:r w:rsidR="00B02D51" w:rsidRPr="00497B04">
        <w:rPr>
          <w:rFonts w:cs="Arial"/>
          <w:sz w:val="20"/>
          <w:lang w:val="en-US"/>
        </w:rPr>
        <w:t>. T</w:t>
      </w:r>
      <w:r w:rsidR="001A0605" w:rsidRPr="00497B04">
        <w:rPr>
          <w:rFonts w:cs="Arial"/>
          <w:sz w:val="20"/>
          <w:lang w:val="en-US"/>
        </w:rPr>
        <w:t xml:space="preserve">he more advanced the stage is, higher will </w:t>
      </w:r>
      <w:r w:rsidRPr="00497B04">
        <w:rPr>
          <w:rFonts w:cs="Arial"/>
          <w:sz w:val="20"/>
          <w:lang w:val="en-US"/>
        </w:rPr>
        <w:t>be the herbicide dose required for</w:t>
      </w:r>
      <w:r w:rsidR="001A0605" w:rsidRPr="00497B04">
        <w:rPr>
          <w:rFonts w:cs="Arial"/>
          <w:sz w:val="20"/>
          <w:lang w:val="en-US"/>
        </w:rPr>
        <w:t xml:space="preserve"> an efficient</w:t>
      </w:r>
      <w:r w:rsidRPr="00497B04">
        <w:rPr>
          <w:rFonts w:cs="Arial"/>
          <w:sz w:val="20"/>
          <w:lang w:val="en-US"/>
        </w:rPr>
        <w:t xml:space="preserve"> control (DORS et al., 2010). Glyphosate is registered to cont</w:t>
      </w:r>
      <w:r w:rsidR="00FC62A2" w:rsidRPr="00497B04">
        <w:rPr>
          <w:rFonts w:cs="Arial"/>
          <w:sz w:val="20"/>
          <w:lang w:val="en-US"/>
        </w:rPr>
        <w:t>rol ryegrass</w:t>
      </w:r>
      <w:r w:rsidR="009E35E0">
        <w:rPr>
          <w:rFonts w:cs="Arial"/>
          <w:sz w:val="20"/>
          <w:lang w:val="en-US"/>
        </w:rPr>
        <w:t xml:space="preserve"> </w:t>
      </w:r>
      <w:r w:rsidRPr="00497B04">
        <w:rPr>
          <w:rFonts w:cs="Arial"/>
          <w:sz w:val="20"/>
          <w:lang w:val="en-US"/>
        </w:rPr>
        <w:t xml:space="preserve">at doses between 720 and 2160 g </w:t>
      </w:r>
      <w:r w:rsidR="00FC62A2" w:rsidRPr="00497B04">
        <w:rPr>
          <w:rFonts w:cs="Arial"/>
          <w:sz w:val="20"/>
          <w:lang w:val="en-US"/>
        </w:rPr>
        <w:t xml:space="preserve">of </w:t>
      </w:r>
      <w:r w:rsidR="00FC1B6D">
        <w:rPr>
          <w:rFonts w:cs="Arial"/>
          <w:sz w:val="20"/>
          <w:lang w:val="en-US"/>
        </w:rPr>
        <w:t>acid equivalent</w:t>
      </w:r>
      <w:r w:rsidR="00FC62A2" w:rsidRPr="00497B04">
        <w:rPr>
          <w:rFonts w:cs="Arial"/>
          <w:sz w:val="20"/>
          <w:lang w:val="en-US"/>
        </w:rPr>
        <w:t xml:space="preserve"> (</w:t>
      </w:r>
      <w:r w:rsidR="00FC1B6D">
        <w:rPr>
          <w:rFonts w:cs="Arial"/>
          <w:sz w:val="20"/>
          <w:lang w:val="en-US"/>
        </w:rPr>
        <w:t>a.e.</w:t>
      </w:r>
      <w:r w:rsidR="00FC62A2" w:rsidRPr="00497B04">
        <w:rPr>
          <w:rFonts w:cs="Arial"/>
          <w:sz w:val="20"/>
          <w:lang w:val="en-US"/>
        </w:rPr>
        <w:t>) ha</w:t>
      </w:r>
      <w:r w:rsidR="00FC62A2" w:rsidRPr="00497B04">
        <w:rPr>
          <w:rFonts w:cs="Arial"/>
          <w:sz w:val="20"/>
          <w:vertAlign w:val="superscript"/>
          <w:lang w:val="en-US"/>
        </w:rPr>
        <w:t>-1</w:t>
      </w:r>
      <w:r w:rsidR="00975F77" w:rsidRPr="00497B04">
        <w:rPr>
          <w:rFonts w:cs="Arial"/>
          <w:sz w:val="20"/>
          <w:lang w:val="en-US"/>
        </w:rPr>
        <w:t xml:space="preserve">, depending on the developmental plant stage </w:t>
      </w:r>
      <w:r w:rsidRPr="00497B04">
        <w:rPr>
          <w:rFonts w:cs="Arial"/>
          <w:sz w:val="20"/>
          <w:lang w:val="en-US"/>
        </w:rPr>
        <w:t>(AGROFIT, 2014).</w:t>
      </w:r>
    </w:p>
    <w:p w:rsidR="00BC68B2" w:rsidRPr="00497B04" w:rsidRDefault="00BC68B2" w:rsidP="00B92315">
      <w:pPr>
        <w:spacing w:line="48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497B04">
        <w:rPr>
          <w:rFonts w:ascii="Arial" w:hAnsi="Arial" w:cs="Arial"/>
          <w:sz w:val="20"/>
          <w:szCs w:val="20"/>
          <w:lang w:val="en-US"/>
        </w:rPr>
        <w:tab/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The objective of this study was to evaluate </w:t>
      </w:r>
      <w:r w:rsidR="009E35E0">
        <w:rPr>
          <w:rFonts w:ascii="Arial" w:hAnsi="Arial" w:cs="Arial"/>
          <w:sz w:val="20"/>
          <w:szCs w:val="20"/>
          <w:lang w:val="en-US"/>
        </w:rPr>
        <w:t>the efficiency of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 different </w:t>
      </w:r>
      <w:r w:rsidR="00681A49" w:rsidRPr="00497B04">
        <w:rPr>
          <w:rFonts w:ascii="Arial" w:hAnsi="Arial" w:cs="Arial"/>
          <w:sz w:val="20"/>
          <w:szCs w:val="20"/>
          <w:lang w:val="en-US"/>
        </w:rPr>
        <w:t xml:space="preserve">mechanisms </w:t>
      </w:r>
      <w:r w:rsidR="009E35E0">
        <w:rPr>
          <w:rFonts w:ascii="Arial" w:hAnsi="Arial" w:cs="Arial"/>
          <w:sz w:val="20"/>
          <w:szCs w:val="20"/>
          <w:lang w:val="en-US"/>
        </w:rPr>
        <w:t>of action</w:t>
      </w:r>
      <w:r w:rsidR="004C474B" w:rsidRPr="00497B04">
        <w:rPr>
          <w:rFonts w:ascii="Arial" w:hAnsi="Arial" w:cs="Arial"/>
          <w:sz w:val="20"/>
          <w:szCs w:val="20"/>
          <w:lang w:val="en-US"/>
        </w:rPr>
        <w:t>, alone and in combination, in</w:t>
      </w:r>
      <w:r w:rsidR="00681A49" w:rsidRPr="00497B04">
        <w:rPr>
          <w:rFonts w:ascii="Arial" w:hAnsi="Arial" w:cs="Arial"/>
          <w:sz w:val="20"/>
          <w:szCs w:val="20"/>
          <w:lang w:val="en-US"/>
        </w:rPr>
        <w:t xml:space="preserve"> ryegrass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 control.</w:t>
      </w:r>
    </w:p>
    <w:p w:rsidR="00A61D4F" w:rsidRPr="00497B04" w:rsidRDefault="00A61D4F" w:rsidP="00B92315">
      <w:pPr>
        <w:spacing w:line="480" w:lineRule="auto"/>
        <w:contextualSpacing/>
        <w:jc w:val="both"/>
        <w:outlineLvl w:val="0"/>
        <w:rPr>
          <w:rFonts w:ascii="Arial" w:hAnsi="Arial" w:cs="Arial"/>
          <w:sz w:val="20"/>
          <w:szCs w:val="20"/>
          <w:lang w:val="en-US"/>
        </w:rPr>
      </w:pPr>
    </w:p>
    <w:p w:rsidR="00BC68B2" w:rsidRPr="00497B04" w:rsidRDefault="004C474B" w:rsidP="00B92315">
      <w:pPr>
        <w:spacing w:line="480" w:lineRule="auto"/>
        <w:contextualSpacing/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497B04">
        <w:rPr>
          <w:rFonts w:ascii="Arial" w:hAnsi="Arial" w:cs="Arial"/>
          <w:b/>
          <w:sz w:val="20"/>
          <w:szCs w:val="20"/>
          <w:lang w:val="en-US"/>
        </w:rPr>
        <w:t>Material and Me</w:t>
      </w:r>
      <w:r w:rsidR="007E3E5D" w:rsidRPr="00497B04">
        <w:rPr>
          <w:rFonts w:ascii="Arial" w:hAnsi="Arial" w:cs="Arial"/>
          <w:b/>
          <w:sz w:val="20"/>
          <w:szCs w:val="20"/>
          <w:lang w:val="en-US"/>
        </w:rPr>
        <w:t>t</w:t>
      </w:r>
      <w:r w:rsidRPr="00497B04">
        <w:rPr>
          <w:rFonts w:ascii="Arial" w:hAnsi="Arial" w:cs="Arial"/>
          <w:b/>
          <w:sz w:val="20"/>
          <w:szCs w:val="20"/>
          <w:lang w:val="en-US"/>
        </w:rPr>
        <w:t>hod</w:t>
      </w:r>
      <w:r w:rsidR="007E3E5D" w:rsidRPr="00497B04">
        <w:rPr>
          <w:rFonts w:ascii="Arial" w:hAnsi="Arial" w:cs="Arial"/>
          <w:b/>
          <w:sz w:val="20"/>
          <w:szCs w:val="20"/>
          <w:lang w:val="en-US"/>
        </w:rPr>
        <w:t>s</w:t>
      </w:r>
    </w:p>
    <w:p w:rsidR="00646B42" w:rsidRPr="00497B04" w:rsidRDefault="003C760F" w:rsidP="00AB2981">
      <w:pPr>
        <w:pStyle w:val="yiv7055431373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97B04">
        <w:rPr>
          <w:rFonts w:ascii="Arial" w:hAnsi="Arial" w:cs="Arial"/>
          <w:color w:val="454545"/>
          <w:sz w:val="20"/>
          <w:szCs w:val="20"/>
          <w:lang w:val="en-US"/>
        </w:rPr>
        <w:t xml:space="preserve">            </w:t>
      </w:r>
      <w:r w:rsidR="004C474B" w:rsidRPr="00497B04">
        <w:rPr>
          <w:rFonts w:ascii="Arial" w:hAnsi="Arial" w:cs="Arial"/>
          <w:sz w:val="20"/>
          <w:szCs w:val="20"/>
          <w:lang w:val="en-US"/>
        </w:rPr>
        <w:t>The work was conducted during 2010 cold season</w:t>
      </w:r>
      <w:r w:rsidR="008355C2" w:rsidRPr="00497B04">
        <w:rPr>
          <w:rFonts w:ascii="Arial" w:hAnsi="Arial" w:cs="Arial"/>
          <w:sz w:val="20"/>
          <w:szCs w:val="20"/>
          <w:lang w:val="en-US"/>
        </w:rPr>
        <w:t>,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 </w:t>
      </w:r>
      <w:r w:rsidR="00FC1B6D">
        <w:rPr>
          <w:rFonts w:ascii="Arial" w:hAnsi="Arial" w:cs="Arial"/>
          <w:sz w:val="20"/>
          <w:szCs w:val="20"/>
          <w:lang w:val="en-US"/>
        </w:rPr>
        <w:t>at field station of University of Cruz Alta</w:t>
      </w:r>
      <w:r w:rsidR="00CA0E8B" w:rsidRPr="00497B04">
        <w:rPr>
          <w:rFonts w:ascii="Arial" w:hAnsi="Arial" w:cs="Arial"/>
          <w:sz w:val="20"/>
          <w:szCs w:val="20"/>
          <w:lang w:val="en-US"/>
        </w:rPr>
        <w:t xml:space="preserve">, </w:t>
      </w:r>
      <w:r w:rsidR="004C474B" w:rsidRPr="00497B04">
        <w:rPr>
          <w:rFonts w:ascii="Arial" w:hAnsi="Arial" w:cs="Arial"/>
          <w:sz w:val="20"/>
          <w:szCs w:val="20"/>
          <w:lang w:val="en-US"/>
        </w:rPr>
        <w:t>located in</w:t>
      </w:r>
      <w:r w:rsidR="00CA0E8B" w:rsidRPr="00497B04">
        <w:rPr>
          <w:rFonts w:ascii="Arial" w:hAnsi="Arial" w:cs="Arial"/>
          <w:sz w:val="20"/>
          <w:szCs w:val="20"/>
          <w:lang w:val="en-US"/>
        </w:rPr>
        <w:t xml:space="preserve"> the city of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 Cruz Alta</w:t>
      </w:r>
      <w:r w:rsidR="00CA0E8B" w:rsidRPr="00497B04">
        <w:rPr>
          <w:rFonts w:ascii="Arial" w:hAnsi="Arial" w:cs="Arial"/>
          <w:sz w:val="20"/>
          <w:szCs w:val="20"/>
          <w:lang w:val="en-US"/>
        </w:rPr>
        <w:t>,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 northwest</w:t>
      </w:r>
      <w:r w:rsidR="008355C2" w:rsidRPr="00497B04">
        <w:rPr>
          <w:rFonts w:ascii="Arial" w:hAnsi="Arial" w:cs="Arial"/>
          <w:sz w:val="20"/>
          <w:szCs w:val="20"/>
          <w:lang w:val="en-US"/>
        </w:rPr>
        <w:t>ern</w:t>
      </w:r>
      <w:r w:rsidR="00CA0E8B" w:rsidRPr="00497B04">
        <w:rPr>
          <w:rFonts w:ascii="Arial" w:hAnsi="Arial" w:cs="Arial"/>
          <w:sz w:val="20"/>
          <w:szCs w:val="20"/>
          <w:lang w:val="en-US"/>
        </w:rPr>
        <w:t xml:space="preserve"> region of Rio Grande do Sul s</w:t>
      </w:r>
      <w:r w:rsidR="004C474B" w:rsidRPr="00497B04">
        <w:rPr>
          <w:rFonts w:ascii="Arial" w:hAnsi="Arial" w:cs="Arial"/>
          <w:sz w:val="20"/>
          <w:szCs w:val="20"/>
          <w:lang w:val="en-US"/>
        </w:rPr>
        <w:t>tate, with 452 m</w:t>
      </w:r>
      <w:r w:rsidR="00363340" w:rsidRPr="00497B04">
        <w:rPr>
          <w:rFonts w:ascii="Arial" w:hAnsi="Arial" w:cs="Arial"/>
          <w:sz w:val="20"/>
          <w:szCs w:val="20"/>
          <w:lang w:val="en-US"/>
        </w:rPr>
        <w:t xml:space="preserve"> altitude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 and the </w:t>
      </w:r>
      <w:r w:rsidR="00363340" w:rsidRPr="00497B04">
        <w:rPr>
          <w:rFonts w:ascii="Arial" w:hAnsi="Arial" w:cs="Arial"/>
          <w:sz w:val="20"/>
          <w:szCs w:val="20"/>
          <w:lang w:val="en-US"/>
        </w:rPr>
        <w:t xml:space="preserve">site 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soil </w:t>
      </w:r>
      <w:r w:rsidR="00363340" w:rsidRPr="00497B04">
        <w:rPr>
          <w:rFonts w:ascii="Arial" w:hAnsi="Arial" w:cs="Arial"/>
          <w:sz w:val="20"/>
          <w:szCs w:val="20"/>
          <w:lang w:val="en-US"/>
        </w:rPr>
        <w:t>beinga clayey typic dystrophic red latosol</w:t>
      </w:r>
      <w:r w:rsidR="00FC1B6D">
        <w:rPr>
          <w:rFonts w:ascii="Arial" w:hAnsi="Arial" w:cs="Arial"/>
          <w:sz w:val="20"/>
          <w:szCs w:val="20"/>
          <w:lang w:val="en-US"/>
        </w:rPr>
        <w:t xml:space="preserve"> </w:t>
      </w:r>
      <w:r w:rsidR="004C474B" w:rsidRPr="00497B04">
        <w:rPr>
          <w:rFonts w:ascii="Arial" w:hAnsi="Arial" w:cs="Arial"/>
          <w:sz w:val="20"/>
          <w:szCs w:val="20"/>
          <w:lang w:val="en-US"/>
        </w:rPr>
        <w:t>(EMBRAPA, 2006). The experimental design was a randomized blo</w:t>
      </w:r>
      <w:r w:rsidR="00363340" w:rsidRPr="00497B04">
        <w:rPr>
          <w:rFonts w:ascii="Arial" w:hAnsi="Arial" w:cs="Arial"/>
          <w:sz w:val="20"/>
          <w:szCs w:val="20"/>
          <w:lang w:val="en-US"/>
        </w:rPr>
        <w:t>ck with five repetitions. The plots were 4 m wide and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 7 m long, and the herbicide </w:t>
      </w:r>
      <w:r w:rsidR="00363340" w:rsidRPr="00497B04">
        <w:rPr>
          <w:rFonts w:ascii="Arial" w:hAnsi="Arial" w:cs="Arial"/>
          <w:sz w:val="20"/>
          <w:szCs w:val="20"/>
          <w:lang w:val="en-US"/>
        </w:rPr>
        <w:t xml:space="preserve">was </w:t>
      </w:r>
      <w:r w:rsidR="004C474B" w:rsidRPr="00497B04">
        <w:rPr>
          <w:rFonts w:ascii="Arial" w:hAnsi="Arial" w:cs="Arial"/>
          <w:sz w:val="20"/>
          <w:szCs w:val="20"/>
          <w:lang w:val="en-US"/>
        </w:rPr>
        <w:t>applied in 3 m, leaving</w:t>
      </w:r>
      <w:r w:rsidR="00363340" w:rsidRPr="00497B04">
        <w:rPr>
          <w:rFonts w:ascii="Arial" w:hAnsi="Arial" w:cs="Arial"/>
          <w:sz w:val="20"/>
          <w:szCs w:val="20"/>
          <w:lang w:val="en-US"/>
        </w:rPr>
        <w:t xml:space="preserve"> 1 m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 on each</w:t>
      </w:r>
      <w:r w:rsidR="00363340" w:rsidRPr="00497B04">
        <w:rPr>
          <w:rFonts w:ascii="Arial" w:hAnsi="Arial" w:cs="Arial"/>
          <w:sz w:val="20"/>
          <w:szCs w:val="20"/>
          <w:lang w:val="en-US"/>
        </w:rPr>
        <w:t xml:space="preserve"> side of the plot</w:t>
      </w:r>
      <w:r w:rsidR="005B0C7D" w:rsidRPr="00497B04">
        <w:rPr>
          <w:rFonts w:ascii="Arial" w:hAnsi="Arial" w:cs="Arial"/>
          <w:sz w:val="20"/>
          <w:szCs w:val="20"/>
          <w:lang w:val="en-US"/>
        </w:rPr>
        <w:t xml:space="preserve"> as check</w:t>
      </w:r>
      <w:r w:rsidR="0035547D" w:rsidRPr="00497B04">
        <w:rPr>
          <w:rFonts w:ascii="Arial" w:hAnsi="Arial" w:cs="Arial"/>
          <w:sz w:val="20"/>
          <w:szCs w:val="20"/>
          <w:lang w:val="en-US"/>
        </w:rPr>
        <w:t xml:space="preserve">. The </w:t>
      </w:r>
      <w:r w:rsidR="00363340" w:rsidRPr="00497B04">
        <w:rPr>
          <w:rFonts w:ascii="Arial" w:hAnsi="Arial" w:cs="Arial"/>
          <w:sz w:val="20"/>
          <w:szCs w:val="20"/>
          <w:lang w:val="en-US"/>
        </w:rPr>
        <w:t>assessed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 treatments are </w:t>
      </w:r>
      <w:r w:rsidR="00D41346" w:rsidRPr="00497B04">
        <w:rPr>
          <w:rFonts w:ascii="Arial" w:hAnsi="Arial" w:cs="Arial"/>
          <w:sz w:val="20"/>
          <w:szCs w:val="20"/>
          <w:lang w:val="en-US"/>
        </w:rPr>
        <w:t>presented in Table 1. Herbicides were applied on 07/30/2010 on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 ryegrass plant</w:t>
      </w:r>
      <w:r w:rsidR="00D41346" w:rsidRPr="00497B04">
        <w:rPr>
          <w:rFonts w:ascii="Arial" w:hAnsi="Arial" w:cs="Arial"/>
          <w:sz w:val="20"/>
          <w:szCs w:val="20"/>
          <w:lang w:val="en-US"/>
        </w:rPr>
        <w:t>s with 5-6 tillers. To spray herbicide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 syrup, a pressurized backpack sprayer with</w:t>
      </w:r>
      <w:r w:rsidR="00D41346" w:rsidRPr="00497B04">
        <w:rPr>
          <w:rFonts w:ascii="Arial" w:hAnsi="Arial" w:cs="Arial"/>
          <w:sz w:val="20"/>
          <w:szCs w:val="20"/>
          <w:lang w:val="en-US"/>
        </w:rPr>
        <w:t xml:space="preserve"> CO</w:t>
      </w:r>
      <w:r w:rsidR="00D41346" w:rsidRPr="00497B04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="00D41346" w:rsidRPr="00497B04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 w:rsidR="00D41346" w:rsidRPr="00497B04">
        <w:rPr>
          <w:rFonts w:ascii="Arial" w:hAnsi="Arial" w:cs="Arial"/>
          <w:sz w:val="20"/>
          <w:szCs w:val="20"/>
          <w:lang w:val="en-US"/>
        </w:rPr>
        <w:t xml:space="preserve">at 103.5 kPa, a spray bar width of 3 m, 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six </w:t>
      </w:r>
      <w:r w:rsidR="00AE4E46" w:rsidRPr="00497B04">
        <w:rPr>
          <w:rFonts w:ascii="Arial" w:hAnsi="Arial" w:cs="Arial"/>
          <w:sz w:val="20"/>
          <w:szCs w:val="20"/>
          <w:lang w:val="en-US"/>
        </w:rPr>
        <w:t xml:space="preserve">fan type </w:t>
      </w:r>
      <w:r w:rsidR="004C474B" w:rsidRPr="00497B04">
        <w:rPr>
          <w:rFonts w:ascii="Arial" w:hAnsi="Arial" w:cs="Arial"/>
          <w:sz w:val="20"/>
          <w:szCs w:val="20"/>
          <w:lang w:val="en-US"/>
        </w:rPr>
        <w:t xml:space="preserve">points (TT 110015) and spray </w:t>
      </w:r>
      <w:r w:rsidR="00D41346" w:rsidRPr="00497B04">
        <w:rPr>
          <w:rFonts w:ascii="Arial" w:hAnsi="Arial" w:cs="Arial"/>
          <w:sz w:val="20"/>
          <w:szCs w:val="20"/>
          <w:lang w:val="en-US"/>
        </w:rPr>
        <w:t>volume equivalent to 115 L ha</w:t>
      </w:r>
      <w:r w:rsidR="00D41346" w:rsidRPr="00497B04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AE4E46" w:rsidRPr="00497B04">
        <w:rPr>
          <w:rFonts w:ascii="Arial" w:hAnsi="Arial" w:cs="Arial"/>
          <w:sz w:val="20"/>
          <w:szCs w:val="20"/>
          <w:lang w:val="en-US"/>
        </w:rPr>
        <w:t>was used.</w:t>
      </w:r>
    </w:p>
    <w:p w:rsidR="00646B42" w:rsidRPr="00497B04" w:rsidRDefault="004C474B" w:rsidP="00B92315">
      <w:pPr>
        <w:pStyle w:val="yiv7055431373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97B04">
        <w:rPr>
          <w:rFonts w:ascii="Arial" w:hAnsi="Arial" w:cs="Arial"/>
          <w:b/>
          <w:sz w:val="20"/>
          <w:szCs w:val="20"/>
          <w:lang w:val="en-US"/>
        </w:rPr>
        <w:t>Table</w:t>
      </w:r>
      <w:r w:rsidR="00646B42" w:rsidRPr="00497B04">
        <w:rPr>
          <w:rFonts w:ascii="Arial" w:hAnsi="Arial" w:cs="Arial"/>
          <w:b/>
          <w:sz w:val="20"/>
          <w:szCs w:val="20"/>
          <w:lang w:val="en-US"/>
        </w:rPr>
        <w:t xml:space="preserve"> 1.</w:t>
      </w:r>
      <w:r w:rsidR="00340C0A" w:rsidRPr="00497B04">
        <w:rPr>
          <w:rFonts w:ascii="Arial" w:hAnsi="Arial" w:cs="Arial"/>
          <w:sz w:val="20"/>
          <w:szCs w:val="20"/>
          <w:lang w:val="en-US"/>
        </w:rPr>
        <w:t xml:space="preserve"> Treatments evaluated, dose and commercial name. UNICRUZ, Cruz Alta/RS, 2010.</w:t>
      </w:r>
    </w:p>
    <w:tbl>
      <w:tblPr>
        <w:tblW w:w="988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2"/>
        <w:gridCol w:w="1762"/>
        <w:gridCol w:w="5325"/>
      </w:tblGrid>
      <w:tr w:rsidR="003E3687" w:rsidRPr="00497B04" w:rsidTr="00AB2981">
        <w:trPr>
          <w:trHeight w:val="339"/>
        </w:trPr>
        <w:tc>
          <w:tcPr>
            <w:tcW w:w="28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3687" w:rsidRPr="00497B04" w:rsidRDefault="004C474B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Treatment</w:t>
            </w:r>
          </w:p>
        </w:tc>
        <w:tc>
          <w:tcPr>
            <w:tcW w:w="176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3687" w:rsidRPr="00497B04" w:rsidRDefault="003E3687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Dose</w:t>
            </w:r>
            <w:r w:rsidR="00D546F8"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 (g ha</w:t>
            </w:r>
            <w:r w:rsidR="00D546F8"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="00D546F8"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3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3687" w:rsidRPr="00497B04" w:rsidRDefault="00D41346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Commercial name</w:t>
            </w:r>
          </w:p>
        </w:tc>
      </w:tr>
      <w:tr w:rsidR="003E3687" w:rsidRPr="000501C7" w:rsidTr="00AB2981">
        <w:tc>
          <w:tcPr>
            <w:tcW w:w="28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E3687" w:rsidRPr="00497B04" w:rsidRDefault="00145F2E" w:rsidP="00AB2981">
            <w:pP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Glyphosate (Gly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6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720</w:t>
            </w:r>
          </w:p>
        </w:tc>
        <w:tc>
          <w:tcPr>
            <w:tcW w:w="5325" w:type="dxa"/>
            <w:tcBorders>
              <w:top w:val="single" w:sz="8" w:space="0" w:color="auto"/>
            </w:tcBorders>
            <w:shd w:val="clear" w:color="auto" w:fill="auto"/>
          </w:tcPr>
          <w:p w:rsidR="003E3687" w:rsidRPr="00497B04" w:rsidRDefault="003E3687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Zapp QI® (500 g e.a.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0501C7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145F2E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Glyphosate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1440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3E3687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Zapp QI® (500 g e.a.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0501C7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145F2E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Glyphosate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2160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3E3687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Zapp QI® (500 g e.a.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497B04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145F2E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Fluazifop-p-butyl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3E3687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Fusilade 250 EW® (250 g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497B04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Clet</w:t>
            </w:r>
            <w:r w:rsidR="00145F2E" w:rsidRPr="00497B04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odim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3E3687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Select® (240 g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="00646B42"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497B04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Quizalo</w:t>
            </w:r>
            <w:r w:rsidR="00145F2E" w:rsidRPr="00497B04">
              <w:rPr>
                <w:rFonts w:ascii="Arial" w:hAnsi="Arial" w:cs="Arial"/>
                <w:sz w:val="20"/>
                <w:szCs w:val="20"/>
                <w:lang w:val="en-US"/>
              </w:rPr>
              <w:t>fop-p-tefuril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3E3687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Panther 120 EC® (120 g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497B04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145F2E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Clodinafop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D10878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Topik 240 EC® (240 g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0501C7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145F2E" w:rsidP="00145F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 + fluazifop-p-butyl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720 + 125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D10878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Zapp QI® (500 g e.a.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) + 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>Fusilade 250 EW® (250 g L</w:t>
            </w:r>
            <w:r w:rsidR="003E3687"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0501C7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145F2E" w:rsidP="00145F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 + fluazifop-p-butyl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720 + 200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D10878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Zapp QI® (500 g e.a.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) + 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>Fusilade 250 EW® (250 g L</w:t>
            </w:r>
            <w:r w:rsidR="003E3687"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0501C7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145F2E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 +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Clodinafop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720 +   60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D10878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Zapp QI® (500 g e.a.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) + 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>Topik 240 EC® (240 g L</w:t>
            </w:r>
            <w:r w:rsidR="003E3687"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0501C7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145F2E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 +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Clodinafop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720 + 120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D10878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Zapp QI® (500 g e.a.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) + 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>Topik 240 EC® (240 g L</w:t>
            </w:r>
            <w:r w:rsidR="003E3687"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0501C7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145F2E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 +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Quizalofop-p-tefuril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720 +   96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D10878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Zapp QI® (500 g e.a.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) + 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>Panther 120 EC® (120 g L</w:t>
            </w:r>
            <w:r w:rsidR="003E3687"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0501C7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145F2E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 +Clet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>odim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720 +   72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D10878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Zapp QI® (500 g e.a.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) + </w:t>
            </w:r>
            <w:r w:rsidR="003E3687" w:rsidRPr="00497B04">
              <w:rPr>
                <w:rFonts w:ascii="Arial" w:hAnsi="Arial" w:cs="Arial"/>
                <w:sz w:val="20"/>
                <w:szCs w:val="20"/>
                <w:lang w:val="en-US"/>
              </w:rPr>
              <w:t>Select® (240 g L</w:t>
            </w:r>
            <w:r w:rsidR="003E3687"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="00646B42"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497B04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145F2E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Glufosinate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500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D10878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Finale® (200 g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497B04" w:rsidTr="00AB2981">
        <w:tc>
          <w:tcPr>
            <w:tcW w:w="2802" w:type="dxa"/>
            <w:shd w:val="clear" w:color="auto" w:fill="auto"/>
            <w:vAlign w:val="center"/>
          </w:tcPr>
          <w:p w:rsidR="003E3687" w:rsidRPr="00497B04" w:rsidRDefault="00145F2E" w:rsidP="00AB2981">
            <w:pPr>
              <w:tabs>
                <w:tab w:val="center" w:pos="171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Paraquat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500</w:t>
            </w:r>
          </w:p>
        </w:tc>
        <w:tc>
          <w:tcPr>
            <w:tcW w:w="5325" w:type="dxa"/>
            <w:shd w:val="clear" w:color="auto" w:fill="auto"/>
          </w:tcPr>
          <w:p w:rsidR="003E3687" w:rsidRPr="00497B04" w:rsidRDefault="00D10878" w:rsidP="00AB2981">
            <w:pPr>
              <w:pStyle w:val="yiv7055431373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Gramoxone 200® (200 g L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3E3687" w:rsidRPr="00497B04" w:rsidTr="00AB2981">
        <w:tc>
          <w:tcPr>
            <w:tcW w:w="28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687" w:rsidRPr="00497B04" w:rsidRDefault="009B1EB2" w:rsidP="00AB2981">
            <w:pPr>
              <w:tabs>
                <w:tab w:val="center" w:pos="171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Check</w:t>
            </w:r>
          </w:p>
        </w:tc>
        <w:tc>
          <w:tcPr>
            <w:tcW w:w="17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687" w:rsidRPr="00497B04" w:rsidRDefault="003E3687" w:rsidP="00AB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325" w:type="dxa"/>
            <w:tcBorders>
              <w:bottom w:val="single" w:sz="8" w:space="0" w:color="auto"/>
            </w:tcBorders>
            <w:shd w:val="clear" w:color="auto" w:fill="auto"/>
          </w:tcPr>
          <w:p w:rsidR="003E3687" w:rsidRPr="00497B04" w:rsidRDefault="003E3687" w:rsidP="00AB2981">
            <w:pPr>
              <w:pStyle w:val="yiv7055431373msonorma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</w:tbl>
    <w:p w:rsidR="0096076C" w:rsidRPr="009A370F" w:rsidRDefault="0096076C" w:rsidP="00B92315">
      <w:pPr>
        <w:pStyle w:val="yiv7055431373msonormal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</w:p>
    <w:p w:rsidR="003C760F" w:rsidRPr="00EF476B" w:rsidRDefault="0074551F" w:rsidP="00B92315">
      <w:pPr>
        <w:pStyle w:val="yiv7055431373msonormal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Efficiency </w:t>
      </w:r>
      <w:r w:rsidR="006D647D">
        <w:rPr>
          <w:rFonts w:ascii="Arial" w:hAnsi="Arial" w:cs="Arial"/>
          <w:sz w:val="20"/>
          <w:szCs w:val="20"/>
          <w:lang w:val="en-US"/>
        </w:rPr>
        <w:t xml:space="preserve">control </w:t>
      </w:r>
      <w:r w:rsidR="00F935CF">
        <w:rPr>
          <w:rFonts w:ascii="Arial" w:hAnsi="Arial" w:cs="Arial"/>
          <w:sz w:val="20"/>
          <w:szCs w:val="20"/>
          <w:lang w:val="en-US"/>
        </w:rPr>
        <w:t>and</w:t>
      </w:r>
      <w:r>
        <w:rPr>
          <w:rFonts w:ascii="Arial" w:hAnsi="Arial" w:cs="Arial"/>
          <w:sz w:val="20"/>
          <w:szCs w:val="20"/>
          <w:lang w:val="en-US"/>
        </w:rPr>
        <w:t xml:space="preserve"> ryegrass dry matter were determined</w:t>
      </w:r>
      <w:r w:rsidR="00EF476B" w:rsidRPr="00EF476B">
        <w:rPr>
          <w:rFonts w:ascii="Arial" w:hAnsi="Arial" w:cs="Arial"/>
          <w:sz w:val="20"/>
          <w:szCs w:val="20"/>
          <w:lang w:val="en-US"/>
        </w:rPr>
        <w:t>. The control efficiency was visually assessed at 7, 14, 21, 28 and 42 days after treatment</w:t>
      </w:r>
      <w:r>
        <w:rPr>
          <w:rFonts w:ascii="Arial" w:hAnsi="Arial" w:cs="Arial"/>
          <w:sz w:val="20"/>
          <w:szCs w:val="20"/>
          <w:lang w:val="en-US"/>
        </w:rPr>
        <w:t xml:space="preserve"> application (DAT), with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 final values represented by the average</w:t>
      </w:r>
      <w:r>
        <w:rPr>
          <w:rFonts w:ascii="Arial" w:hAnsi="Arial" w:cs="Arial"/>
          <w:sz w:val="20"/>
          <w:szCs w:val="20"/>
          <w:lang w:val="en-US"/>
        </w:rPr>
        <w:t xml:space="preserve">s of three evaluators. For this, </w:t>
      </w:r>
      <w:r w:rsidR="00EF476B" w:rsidRPr="00EF476B">
        <w:rPr>
          <w:rFonts w:ascii="Arial" w:hAnsi="Arial" w:cs="Arial"/>
          <w:sz w:val="20"/>
          <w:szCs w:val="20"/>
          <w:lang w:val="en-US"/>
        </w:rPr>
        <w:t>the percentag</w:t>
      </w:r>
      <w:r>
        <w:rPr>
          <w:rFonts w:ascii="Arial" w:hAnsi="Arial" w:cs="Arial"/>
          <w:sz w:val="20"/>
          <w:szCs w:val="20"/>
          <w:lang w:val="en-US"/>
        </w:rPr>
        <w:t>e scale where "0" represents control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 absenceand "100" </w:t>
      </w:r>
      <w:r>
        <w:rPr>
          <w:rFonts w:ascii="Arial" w:hAnsi="Arial" w:cs="Arial"/>
          <w:sz w:val="20"/>
          <w:szCs w:val="20"/>
          <w:lang w:val="en-US"/>
        </w:rPr>
        <w:t xml:space="preserve">represents </w:t>
      </w:r>
      <w:r w:rsidR="00EF476B" w:rsidRPr="00EF476B">
        <w:rPr>
          <w:rFonts w:ascii="Arial" w:hAnsi="Arial" w:cs="Arial"/>
          <w:sz w:val="20"/>
          <w:szCs w:val="20"/>
          <w:lang w:val="en-US"/>
        </w:rPr>
        <w:t>full control</w:t>
      </w:r>
      <w:r w:rsidR="005E1F4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was used. R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emaining plants </w:t>
      </w:r>
      <w:r>
        <w:rPr>
          <w:rFonts w:ascii="Arial" w:hAnsi="Arial" w:cs="Arial"/>
          <w:sz w:val="20"/>
          <w:szCs w:val="20"/>
          <w:lang w:val="en-US"/>
        </w:rPr>
        <w:t xml:space="preserve">dry matter 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was evaluated 59 days after herbicide application (DAT), </w:t>
      </w:r>
      <w:r>
        <w:rPr>
          <w:rFonts w:ascii="Arial" w:hAnsi="Arial" w:cs="Arial"/>
          <w:sz w:val="20"/>
          <w:szCs w:val="20"/>
          <w:lang w:val="en-US"/>
        </w:rPr>
        <w:t xml:space="preserve">with plant </w:t>
      </w:r>
      <w:r w:rsidR="00EF476B" w:rsidRPr="00EF476B">
        <w:rPr>
          <w:rFonts w:ascii="Arial" w:hAnsi="Arial" w:cs="Arial"/>
          <w:sz w:val="20"/>
          <w:szCs w:val="20"/>
          <w:lang w:val="en-US"/>
        </w:rPr>
        <w:t>collecti</w:t>
      </w:r>
      <w:r>
        <w:rPr>
          <w:rFonts w:ascii="Arial" w:hAnsi="Arial" w:cs="Arial"/>
          <w:sz w:val="20"/>
          <w:szCs w:val="20"/>
          <w:lang w:val="en-US"/>
        </w:rPr>
        <w:t>on</w:t>
      </w:r>
      <w:r w:rsidR="0055182B">
        <w:rPr>
          <w:rFonts w:ascii="Arial" w:hAnsi="Arial" w:cs="Arial"/>
          <w:sz w:val="20"/>
          <w:szCs w:val="20"/>
          <w:lang w:val="en-US"/>
        </w:rPr>
        <w:t>in a</w:t>
      </w:r>
      <w:r w:rsidRPr="0074551F">
        <w:rPr>
          <w:rFonts w:ascii="Arial" w:hAnsi="Arial" w:cs="Arial"/>
          <w:sz w:val="20"/>
          <w:szCs w:val="20"/>
          <w:lang w:val="en-US"/>
        </w:rPr>
        <w:t>1 m</w:t>
      </w:r>
      <w:r w:rsidRPr="0074551F">
        <w:rPr>
          <w:rFonts w:ascii="Arial" w:hAnsi="Arial" w:cs="Arial"/>
          <w:sz w:val="20"/>
          <w:szCs w:val="20"/>
          <w:vertAlign w:val="superscript"/>
          <w:lang w:val="en-US"/>
        </w:rPr>
        <w:t>-2</w:t>
      </w:r>
      <w:r w:rsidRPr="0074551F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>
        <w:rPr>
          <w:rFonts w:ascii="Arial" w:hAnsi="Arial" w:cs="Arial"/>
          <w:sz w:val="20"/>
          <w:szCs w:val="20"/>
          <w:lang w:val="en-US"/>
        </w:rPr>
        <w:t>area, and then putting it to dry in an oven at 60 °C, up to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 constant weight.</w:t>
      </w:r>
    </w:p>
    <w:p w:rsidR="00E231CC" w:rsidRPr="00EF476B" w:rsidRDefault="00EF476B" w:rsidP="00B92315">
      <w:pPr>
        <w:pStyle w:val="yiv7055431373msonormal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EF476B">
        <w:rPr>
          <w:rFonts w:ascii="Arial" w:hAnsi="Arial" w:cs="Arial"/>
          <w:sz w:val="20"/>
          <w:szCs w:val="20"/>
          <w:lang w:val="en-US"/>
        </w:rPr>
        <w:t>With average data at 42 DAT, increase in</w:t>
      </w:r>
      <w:r w:rsidR="00BF4691">
        <w:rPr>
          <w:rFonts w:ascii="Arial" w:hAnsi="Arial" w:cs="Arial"/>
          <w:sz w:val="20"/>
          <w:szCs w:val="20"/>
          <w:lang w:val="en-US"/>
        </w:rPr>
        <w:t xml:space="preserve"> control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efficiency (AEC)</w:t>
      </w:r>
      <w:r w:rsidR="003A1413">
        <w:rPr>
          <w:rFonts w:ascii="Arial" w:hAnsi="Arial" w:cs="Arial"/>
          <w:sz w:val="20"/>
          <w:szCs w:val="20"/>
          <w:lang w:val="en-US"/>
        </w:rPr>
        <w:t xml:space="preserve"> </w:t>
      </w:r>
      <w:r w:rsidR="00BF4691">
        <w:rPr>
          <w:rFonts w:ascii="Arial" w:hAnsi="Arial" w:cs="Arial"/>
          <w:sz w:val="20"/>
          <w:szCs w:val="20"/>
          <w:lang w:val="en-US"/>
        </w:rPr>
        <w:t>was calculated</w:t>
      </w:r>
      <w:r w:rsidRPr="00EF476B">
        <w:rPr>
          <w:rFonts w:ascii="Arial" w:hAnsi="Arial" w:cs="Arial"/>
          <w:sz w:val="20"/>
          <w:szCs w:val="20"/>
          <w:lang w:val="en-US"/>
        </w:rPr>
        <w:t>, considering the average control efficiency in</w:t>
      </w:r>
      <w:r w:rsidR="00BF4691">
        <w:rPr>
          <w:rFonts w:ascii="Arial" w:hAnsi="Arial" w:cs="Arial"/>
          <w:sz w:val="20"/>
          <w:szCs w:val="20"/>
          <w:lang w:val="en-US"/>
        </w:rPr>
        <w:t xml:space="preserve"> glyphosate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treatment </w:t>
      </w:r>
      <w:r w:rsidR="00BF4691">
        <w:rPr>
          <w:rFonts w:ascii="Arial" w:hAnsi="Arial" w:cs="Arial"/>
          <w:sz w:val="20"/>
          <w:szCs w:val="20"/>
          <w:lang w:val="en-US"/>
        </w:rPr>
        <w:t xml:space="preserve">at 720 g </w:t>
      </w:r>
      <w:r w:rsidR="003A1413">
        <w:rPr>
          <w:rFonts w:ascii="Arial" w:hAnsi="Arial" w:cs="Arial"/>
          <w:sz w:val="20"/>
          <w:szCs w:val="20"/>
          <w:lang w:val="en-US"/>
        </w:rPr>
        <w:t>a.e.</w:t>
      </w:r>
      <w:r w:rsidR="00BF4691">
        <w:rPr>
          <w:rFonts w:ascii="Arial" w:hAnsi="Arial" w:cs="Arial"/>
          <w:sz w:val="20"/>
          <w:szCs w:val="20"/>
          <w:lang w:val="en-US"/>
        </w:rPr>
        <w:t xml:space="preserve"> </w:t>
      </w:r>
      <w:r w:rsidR="00BF4691" w:rsidRPr="00BF4691">
        <w:rPr>
          <w:rFonts w:ascii="Arial" w:hAnsi="Arial" w:cs="Arial"/>
          <w:sz w:val="20"/>
          <w:szCs w:val="20"/>
          <w:lang w:val="en-US"/>
        </w:rPr>
        <w:t>ha</w:t>
      </w:r>
      <w:r w:rsidR="00BF4691" w:rsidRPr="00BF4691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(AEC1) and</w:t>
      </w:r>
      <w:r w:rsidR="00BF4691">
        <w:rPr>
          <w:rFonts w:ascii="Arial" w:hAnsi="Arial" w:cs="Arial"/>
          <w:sz w:val="20"/>
          <w:szCs w:val="20"/>
          <w:lang w:val="en-US"/>
        </w:rPr>
        <w:t xml:space="preserve"> with glyphosate at 1440 g </w:t>
      </w:r>
      <w:r w:rsidR="003A1413">
        <w:rPr>
          <w:rFonts w:ascii="Arial" w:hAnsi="Arial" w:cs="Arial"/>
          <w:sz w:val="20"/>
          <w:szCs w:val="20"/>
          <w:lang w:val="en-US"/>
        </w:rPr>
        <w:t>a.e.</w:t>
      </w:r>
      <w:r w:rsidR="00BF4691">
        <w:rPr>
          <w:rFonts w:ascii="Arial" w:hAnsi="Arial" w:cs="Arial"/>
          <w:sz w:val="20"/>
          <w:szCs w:val="20"/>
          <w:lang w:val="en-US"/>
        </w:rPr>
        <w:t xml:space="preserve"> </w:t>
      </w:r>
      <w:r w:rsidR="00BF4691" w:rsidRPr="00BF4691">
        <w:rPr>
          <w:rFonts w:ascii="Arial" w:hAnsi="Arial" w:cs="Arial"/>
          <w:sz w:val="20"/>
          <w:szCs w:val="20"/>
          <w:lang w:val="en-US"/>
        </w:rPr>
        <w:t>ha</w:t>
      </w:r>
      <w:r w:rsidR="00BF4691" w:rsidRPr="00BF4691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5E1F4C"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 w:rsidRPr="00EF476B">
        <w:rPr>
          <w:rFonts w:ascii="Arial" w:hAnsi="Arial" w:cs="Arial"/>
          <w:sz w:val="20"/>
          <w:szCs w:val="20"/>
          <w:lang w:val="en-US"/>
        </w:rPr>
        <w:t>(SCA2), as follows:</w:t>
      </w:r>
    </w:p>
    <w:p w:rsidR="00D066B6" w:rsidRPr="00EF476B" w:rsidRDefault="00D066B6" w:rsidP="00B92315">
      <w:pPr>
        <w:pStyle w:val="yiv7055431373msonormal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5418CB" w:rsidRPr="000501C7" w:rsidRDefault="003E2721" w:rsidP="00D066B6">
      <w:pPr>
        <w:spacing w:line="480" w:lineRule="auto"/>
        <w:ind w:firstLine="708"/>
        <w:rPr>
          <w:rFonts w:ascii="Arial" w:hAnsi="Arial" w:cs="Arial"/>
          <w:sz w:val="20"/>
          <w:szCs w:val="20"/>
          <w:lang w:val="en-US"/>
        </w:rPr>
      </w:pPr>
      <w:r w:rsidRPr="009A370F">
        <w:rPr>
          <w:rFonts w:ascii="Arial" w:hAnsi="Arial" w:cs="Arial"/>
          <w:position w:val="-6"/>
          <w:sz w:val="20"/>
          <w:szCs w:val="20"/>
        </w:rPr>
        <w:object w:dxaOrig="21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13.6pt" o:ole="">
            <v:imagedata r:id="rId7" o:title=""/>
          </v:shape>
          <o:OLEObject Type="Embed" ProgID="Equation.3" ShapeID="_x0000_i1025" DrawAspect="Content" ObjectID="_1479103218" r:id="rId8"/>
        </w:object>
      </w:r>
      <w:r w:rsidR="00D066B6" w:rsidRPr="000501C7">
        <w:rPr>
          <w:rFonts w:ascii="Arial" w:hAnsi="Arial" w:cs="Arial"/>
          <w:sz w:val="20"/>
          <w:szCs w:val="20"/>
          <w:lang w:val="en-US"/>
        </w:rPr>
        <w:tab/>
      </w:r>
      <w:r w:rsidR="00D066B6" w:rsidRPr="000501C7">
        <w:rPr>
          <w:rFonts w:ascii="Arial" w:hAnsi="Arial" w:cs="Arial"/>
          <w:sz w:val="20"/>
          <w:szCs w:val="20"/>
          <w:lang w:val="en-US"/>
        </w:rPr>
        <w:tab/>
      </w:r>
      <w:r w:rsidR="00D066B6" w:rsidRPr="000501C7">
        <w:rPr>
          <w:rFonts w:ascii="Arial" w:hAnsi="Arial" w:cs="Arial"/>
          <w:sz w:val="20"/>
          <w:szCs w:val="20"/>
          <w:lang w:val="en-US"/>
        </w:rPr>
        <w:tab/>
      </w:r>
      <w:r w:rsidR="00D066B6" w:rsidRPr="000501C7">
        <w:rPr>
          <w:rFonts w:ascii="Arial" w:hAnsi="Arial" w:cs="Arial"/>
          <w:sz w:val="20"/>
          <w:szCs w:val="20"/>
          <w:lang w:val="en-US"/>
        </w:rPr>
        <w:tab/>
      </w:r>
      <w:r w:rsidR="00D066B6" w:rsidRPr="000501C7">
        <w:rPr>
          <w:rFonts w:ascii="Arial" w:hAnsi="Arial" w:cs="Arial"/>
          <w:sz w:val="20"/>
          <w:szCs w:val="20"/>
          <w:lang w:val="en-US"/>
        </w:rPr>
        <w:tab/>
      </w:r>
      <w:r w:rsidR="00D066B6" w:rsidRPr="000501C7">
        <w:rPr>
          <w:rFonts w:ascii="Arial" w:hAnsi="Arial" w:cs="Arial"/>
          <w:sz w:val="20"/>
          <w:szCs w:val="20"/>
          <w:lang w:val="en-US"/>
        </w:rPr>
        <w:tab/>
      </w:r>
      <w:r w:rsidR="00D066B6" w:rsidRPr="000501C7">
        <w:rPr>
          <w:rFonts w:ascii="Arial" w:hAnsi="Arial" w:cs="Arial"/>
          <w:sz w:val="20"/>
          <w:szCs w:val="20"/>
          <w:lang w:val="en-US"/>
        </w:rPr>
        <w:tab/>
      </w:r>
      <w:r w:rsidR="00D066B6" w:rsidRPr="000501C7">
        <w:rPr>
          <w:rFonts w:ascii="Arial" w:hAnsi="Arial" w:cs="Arial"/>
          <w:sz w:val="20"/>
          <w:szCs w:val="20"/>
          <w:lang w:val="en-US"/>
        </w:rPr>
        <w:tab/>
      </w:r>
      <w:r w:rsidR="00D066B6" w:rsidRPr="000501C7">
        <w:rPr>
          <w:rFonts w:ascii="Arial" w:hAnsi="Arial" w:cs="Arial"/>
          <w:sz w:val="20"/>
          <w:szCs w:val="20"/>
          <w:lang w:val="en-US"/>
        </w:rPr>
        <w:tab/>
      </w:r>
      <w:r w:rsidR="00D066B6" w:rsidRPr="000501C7">
        <w:rPr>
          <w:rFonts w:ascii="Arial" w:hAnsi="Arial" w:cs="Arial"/>
          <w:sz w:val="20"/>
          <w:szCs w:val="20"/>
          <w:lang w:val="en-US"/>
        </w:rPr>
        <w:tab/>
        <w:t>(1)</w:t>
      </w:r>
    </w:p>
    <w:p w:rsidR="008168CD" w:rsidRPr="000501C7" w:rsidRDefault="008168CD" w:rsidP="00D066B6">
      <w:pPr>
        <w:spacing w:line="480" w:lineRule="auto"/>
        <w:ind w:firstLine="708"/>
        <w:rPr>
          <w:rFonts w:ascii="Arial" w:hAnsi="Arial" w:cs="Arial"/>
          <w:sz w:val="20"/>
          <w:szCs w:val="20"/>
          <w:lang w:val="en-US"/>
        </w:rPr>
      </w:pPr>
    </w:p>
    <w:p w:rsidR="003C760F" w:rsidRPr="00EF476B" w:rsidRDefault="00C00EB9" w:rsidP="00D066B6">
      <w:pPr>
        <w:pStyle w:val="yiv7055431373msonormal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Where Ect is the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 control efficiency in the</w:t>
      </w:r>
      <w:r>
        <w:rPr>
          <w:rFonts w:ascii="Arial" w:hAnsi="Arial" w:cs="Arial"/>
          <w:sz w:val="20"/>
          <w:szCs w:val="20"/>
          <w:lang w:val="en-US"/>
        </w:rPr>
        <w:t xml:space="preserve"> desired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 treatment and EMCtr</w:t>
      </w:r>
      <w:r w:rsidR="003A141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is the control average efficiency in the glyphosate treatment, with negative values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 replaced by zero.</w:t>
      </w:r>
    </w:p>
    <w:p w:rsidR="003C760F" w:rsidRPr="00EF476B" w:rsidRDefault="00EF476B" w:rsidP="00B92315">
      <w:pPr>
        <w:pStyle w:val="yiv7055431373msonormal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EF476B">
        <w:rPr>
          <w:rFonts w:ascii="Arial" w:hAnsi="Arial" w:cs="Arial"/>
          <w:sz w:val="20"/>
          <w:szCs w:val="20"/>
          <w:lang w:val="en-US"/>
        </w:rPr>
        <w:t>The control efficiency data, converted to</w:t>
      </w:r>
      <w:r w:rsidR="00886252" w:rsidRPr="00886252">
        <w:rPr>
          <w:rFonts w:ascii="Arial" w:hAnsi="Arial" w:cs="Arial"/>
          <w:sz w:val="20"/>
          <w:szCs w:val="20"/>
          <w:lang w:val="en-US"/>
        </w:rPr>
        <w:t xml:space="preserve"> arc sen √x/100</w:t>
      </w:r>
      <w:r w:rsidR="00886252">
        <w:rPr>
          <w:rFonts w:ascii="Arial" w:hAnsi="Arial" w:cs="Arial"/>
          <w:sz w:val="20"/>
          <w:szCs w:val="20"/>
          <w:lang w:val="en-US"/>
        </w:rPr>
        <w:t xml:space="preserve">, </w:t>
      </w:r>
      <w:r w:rsidRPr="00EF476B">
        <w:rPr>
          <w:rFonts w:ascii="Arial" w:hAnsi="Arial" w:cs="Arial"/>
          <w:sz w:val="20"/>
          <w:szCs w:val="20"/>
          <w:lang w:val="en-US"/>
        </w:rPr>
        <w:t>and</w:t>
      </w:r>
      <w:r w:rsidR="00886252">
        <w:rPr>
          <w:rFonts w:ascii="Arial" w:hAnsi="Arial" w:cs="Arial"/>
          <w:sz w:val="20"/>
          <w:szCs w:val="20"/>
          <w:lang w:val="en-US"/>
        </w:rPr>
        <w:t xml:space="preserve"> plants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dry matter were subjected to analysis of variance. For significant differences by </w:t>
      </w:r>
      <w:r w:rsidR="00A36B1D">
        <w:rPr>
          <w:rFonts w:ascii="Arial" w:hAnsi="Arial" w:cs="Arial"/>
          <w:sz w:val="20"/>
          <w:szCs w:val="20"/>
          <w:lang w:val="en-US"/>
        </w:rPr>
        <w:t>F test (p = 0.05), averages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were compared by Scott-Knott test (p = 0.05). In the tables</w:t>
      </w:r>
      <w:r w:rsidR="005F05C1">
        <w:rPr>
          <w:rFonts w:ascii="Arial" w:hAnsi="Arial" w:cs="Arial"/>
          <w:sz w:val="20"/>
          <w:szCs w:val="20"/>
          <w:lang w:val="en-US"/>
        </w:rPr>
        <w:t xml:space="preserve">, </w:t>
      </w:r>
      <w:r w:rsidRPr="00EF476B">
        <w:rPr>
          <w:rFonts w:ascii="Arial" w:hAnsi="Arial" w:cs="Arial"/>
          <w:sz w:val="20"/>
          <w:szCs w:val="20"/>
          <w:lang w:val="en-US"/>
        </w:rPr>
        <w:t>control efficiency results ar</w:t>
      </w:r>
      <w:r w:rsidR="005F05C1">
        <w:rPr>
          <w:rFonts w:ascii="Arial" w:hAnsi="Arial" w:cs="Arial"/>
          <w:sz w:val="20"/>
          <w:szCs w:val="20"/>
          <w:lang w:val="en-US"/>
        </w:rPr>
        <w:t>e presented as a percentage, although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the mean comparison test and the coefficient of variation refer to processed data.</w:t>
      </w:r>
    </w:p>
    <w:p w:rsidR="00C51FCA" w:rsidRPr="00EF476B" w:rsidRDefault="00C51FCA" w:rsidP="00B92315">
      <w:pPr>
        <w:spacing w:line="480" w:lineRule="auto"/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:rsidR="00C13896" w:rsidRPr="00EF476B" w:rsidRDefault="00EF476B" w:rsidP="00C13896">
      <w:pPr>
        <w:spacing w:line="480" w:lineRule="auto"/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EF476B">
        <w:rPr>
          <w:rFonts w:ascii="Arial" w:hAnsi="Arial" w:cs="Arial"/>
          <w:b/>
          <w:sz w:val="20"/>
          <w:szCs w:val="20"/>
          <w:lang w:val="en-US"/>
        </w:rPr>
        <w:t>Result</w:t>
      </w:r>
      <w:r w:rsidR="00C13896" w:rsidRPr="00EF476B">
        <w:rPr>
          <w:rFonts w:ascii="Arial" w:hAnsi="Arial" w:cs="Arial"/>
          <w:b/>
          <w:sz w:val="20"/>
          <w:szCs w:val="20"/>
          <w:lang w:val="en-US"/>
        </w:rPr>
        <w:t xml:space="preserve">s </w:t>
      </w:r>
      <w:r w:rsidRPr="00EF476B">
        <w:rPr>
          <w:rFonts w:ascii="Arial" w:hAnsi="Arial" w:cs="Arial"/>
          <w:b/>
          <w:sz w:val="20"/>
          <w:szCs w:val="20"/>
          <w:lang w:val="en-US"/>
        </w:rPr>
        <w:t>and Discussion</w:t>
      </w:r>
    </w:p>
    <w:p w:rsidR="00C13896" w:rsidRPr="00EF476B" w:rsidRDefault="00EF476B" w:rsidP="00C13896">
      <w:pPr>
        <w:spacing w:line="480" w:lineRule="auto"/>
        <w:ind w:firstLine="708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EF476B">
        <w:rPr>
          <w:rFonts w:ascii="Arial" w:hAnsi="Arial" w:cs="Arial"/>
          <w:sz w:val="20"/>
          <w:szCs w:val="20"/>
          <w:lang w:val="en-US"/>
        </w:rPr>
        <w:t>The ac</w:t>
      </w:r>
      <w:r w:rsidR="002708C0">
        <w:rPr>
          <w:rFonts w:ascii="Arial" w:hAnsi="Arial" w:cs="Arial"/>
          <w:sz w:val="20"/>
          <w:szCs w:val="20"/>
          <w:lang w:val="en-US"/>
        </w:rPr>
        <w:t>tion of the isolated glyphosate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in</w:t>
      </w:r>
      <w:r w:rsidR="002708C0">
        <w:rPr>
          <w:rFonts w:ascii="Arial" w:hAnsi="Arial" w:cs="Arial"/>
          <w:sz w:val="20"/>
          <w:szCs w:val="20"/>
          <w:lang w:val="en-US"/>
        </w:rPr>
        <w:t xml:space="preserve"> </w:t>
      </w:r>
      <w:r w:rsidRPr="00EF476B">
        <w:rPr>
          <w:rFonts w:ascii="Arial" w:hAnsi="Arial" w:cs="Arial"/>
          <w:sz w:val="20"/>
          <w:szCs w:val="20"/>
          <w:lang w:val="en-US"/>
        </w:rPr>
        <w:t>7 DAT</w:t>
      </w:r>
      <w:r w:rsidR="002708C0">
        <w:rPr>
          <w:rFonts w:ascii="Arial" w:hAnsi="Arial" w:cs="Arial"/>
          <w:sz w:val="20"/>
          <w:szCs w:val="20"/>
          <w:lang w:val="en-US"/>
        </w:rPr>
        <w:t xml:space="preserve"> evaluation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was generally low (Table 2). According </w:t>
      </w:r>
      <w:r w:rsidR="002708C0">
        <w:rPr>
          <w:rFonts w:ascii="Arial" w:hAnsi="Arial" w:cs="Arial"/>
          <w:sz w:val="20"/>
          <w:szCs w:val="20"/>
          <w:lang w:val="en-US"/>
        </w:rPr>
        <w:t xml:space="preserve">to </w:t>
      </w:r>
      <w:r w:rsidRPr="00EF476B">
        <w:rPr>
          <w:rFonts w:ascii="Arial" w:hAnsi="Arial" w:cs="Arial"/>
          <w:sz w:val="20"/>
          <w:szCs w:val="20"/>
          <w:lang w:val="en-US"/>
        </w:rPr>
        <w:t>CAMPOS et al. (2012), this occurs due to t</w:t>
      </w:r>
      <w:r w:rsidR="002708C0">
        <w:rPr>
          <w:rFonts w:ascii="Arial" w:hAnsi="Arial" w:cs="Arial"/>
          <w:sz w:val="20"/>
          <w:szCs w:val="20"/>
          <w:lang w:val="en-US"/>
        </w:rPr>
        <w:t>he relatively slow action of this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herbicide, </w:t>
      </w:r>
      <w:r w:rsidR="00580B24">
        <w:rPr>
          <w:rFonts w:ascii="Arial" w:hAnsi="Arial" w:cs="Arial"/>
          <w:sz w:val="20"/>
          <w:szCs w:val="20"/>
          <w:lang w:val="en-US"/>
        </w:rPr>
        <w:t>as it presents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systemic </w:t>
      </w:r>
      <w:r w:rsidRPr="00EF476B">
        <w:rPr>
          <w:rFonts w:ascii="Arial" w:hAnsi="Arial" w:cs="Arial"/>
          <w:sz w:val="20"/>
          <w:szCs w:val="20"/>
          <w:lang w:val="en-US"/>
        </w:rPr>
        <w:lastRenderedPageBreak/>
        <w:t>action and demand</w:t>
      </w:r>
      <w:r w:rsidR="00580B24">
        <w:rPr>
          <w:rFonts w:ascii="Arial" w:hAnsi="Arial" w:cs="Arial"/>
          <w:sz w:val="20"/>
          <w:szCs w:val="20"/>
          <w:lang w:val="en-US"/>
        </w:rPr>
        <w:t>s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a longer time to show symptoms, which can be seen in the following evaluations</w:t>
      </w:r>
      <w:r w:rsidR="00580B24">
        <w:rPr>
          <w:rFonts w:ascii="Arial" w:hAnsi="Arial" w:cs="Arial"/>
          <w:sz w:val="20"/>
          <w:szCs w:val="20"/>
          <w:lang w:val="en-US"/>
        </w:rPr>
        <w:t>, where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glyphosa</w:t>
      </w:r>
      <w:r w:rsidR="00580B24">
        <w:rPr>
          <w:rFonts w:ascii="Arial" w:hAnsi="Arial" w:cs="Arial"/>
          <w:sz w:val="20"/>
          <w:szCs w:val="20"/>
          <w:lang w:val="en-US"/>
        </w:rPr>
        <w:t xml:space="preserve">te increased its level control. In 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lack of this knowledge, </w:t>
      </w:r>
      <w:r w:rsidR="00580B24">
        <w:rPr>
          <w:rFonts w:ascii="Arial" w:hAnsi="Arial" w:cs="Arial"/>
          <w:sz w:val="20"/>
          <w:szCs w:val="20"/>
          <w:lang w:val="en-US"/>
        </w:rPr>
        <w:t xml:space="preserve">plants are </w:t>
      </w:r>
      <w:r w:rsidRPr="00EF476B">
        <w:rPr>
          <w:rFonts w:ascii="Arial" w:hAnsi="Arial" w:cs="Arial"/>
          <w:sz w:val="20"/>
          <w:szCs w:val="20"/>
          <w:lang w:val="en-US"/>
        </w:rPr>
        <w:t>often considered resistant.</w:t>
      </w:r>
    </w:p>
    <w:p w:rsidR="00C13896" w:rsidRPr="00EF476B" w:rsidRDefault="00EE6618" w:rsidP="00C13896">
      <w:pPr>
        <w:spacing w:line="480" w:lineRule="auto"/>
        <w:ind w:firstLine="708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At 14 DAT</w:t>
      </w:r>
      <w:r w:rsidR="00EF476B" w:rsidRPr="00EF476B">
        <w:rPr>
          <w:rFonts w:ascii="Arial" w:hAnsi="Arial" w:cs="Arial"/>
          <w:sz w:val="20"/>
          <w:szCs w:val="20"/>
          <w:lang w:val="en-US"/>
        </w:rPr>
        <w:t>, glyphosate show</w:t>
      </w:r>
      <w:r w:rsidR="00B61DDA">
        <w:rPr>
          <w:rFonts w:ascii="Arial" w:hAnsi="Arial" w:cs="Arial"/>
          <w:sz w:val="20"/>
          <w:szCs w:val="20"/>
          <w:lang w:val="en-US"/>
        </w:rPr>
        <w:t>ed a significant increase in control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 level with </w:t>
      </w:r>
      <w:r w:rsidR="00B61DDA">
        <w:rPr>
          <w:rFonts w:ascii="Arial" w:hAnsi="Arial" w:cs="Arial"/>
          <w:sz w:val="20"/>
          <w:szCs w:val="20"/>
          <w:lang w:val="en-US"/>
        </w:rPr>
        <w:t>the increase</w:t>
      </w:r>
      <w:r w:rsidR="00403C50">
        <w:rPr>
          <w:rFonts w:ascii="Arial" w:hAnsi="Arial" w:cs="Arial"/>
          <w:sz w:val="20"/>
          <w:szCs w:val="20"/>
          <w:lang w:val="en-US"/>
        </w:rPr>
        <w:t xml:space="preserve"> of 720 (58%) to 2160 g e.</w:t>
      </w:r>
      <w:r w:rsidR="00B61DDA">
        <w:rPr>
          <w:rFonts w:ascii="Arial" w:hAnsi="Arial" w:cs="Arial"/>
          <w:sz w:val="20"/>
          <w:szCs w:val="20"/>
          <w:lang w:val="en-US"/>
        </w:rPr>
        <w:t xml:space="preserve">a. </w:t>
      </w:r>
      <w:r w:rsidR="00B61DDA" w:rsidRPr="00EE6618">
        <w:rPr>
          <w:rFonts w:ascii="Arial" w:hAnsi="Arial" w:cs="Arial"/>
          <w:sz w:val="20"/>
          <w:szCs w:val="20"/>
          <w:lang w:val="en-US"/>
        </w:rPr>
        <w:t>ha</w:t>
      </w:r>
      <w:r w:rsidR="00B61DDA" w:rsidRPr="00EE6618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403C50"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 w:rsidR="00EF476B" w:rsidRPr="00EF476B">
        <w:rPr>
          <w:rFonts w:ascii="Arial" w:hAnsi="Arial" w:cs="Arial"/>
          <w:sz w:val="20"/>
          <w:szCs w:val="20"/>
          <w:lang w:val="en-US"/>
        </w:rPr>
        <w:t>(86%)</w:t>
      </w:r>
      <w:r w:rsidR="00B61DDA">
        <w:rPr>
          <w:rFonts w:ascii="Arial" w:hAnsi="Arial" w:cs="Arial"/>
          <w:sz w:val="20"/>
          <w:szCs w:val="20"/>
          <w:lang w:val="en-US"/>
        </w:rPr>
        <w:t xml:space="preserve"> in the dose</w:t>
      </w:r>
      <w:r w:rsidR="00EF476B" w:rsidRPr="00EF476B">
        <w:rPr>
          <w:rFonts w:ascii="Arial" w:hAnsi="Arial" w:cs="Arial"/>
          <w:sz w:val="20"/>
          <w:szCs w:val="20"/>
          <w:lang w:val="en-US"/>
        </w:rPr>
        <w:t>. This p</w:t>
      </w:r>
      <w:r w:rsidR="00FC33BC">
        <w:rPr>
          <w:rFonts w:ascii="Arial" w:hAnsi="Arial" w:cs="Arial"/>
          <w:sz w:val="20"/>
          <w:szCs w:val="20"/>
          <w:lang w:val="en-US"/>
        </w:rPr>
        <w:t xml:space="preserve">erformance was maintained at 21 and </w:t>
      </w:r>
      <w:r w:rsidR="00EF476B" w:rsidRPr="00EF476B">
        <w:rPr>
          <w:rFonts w:ascii="Arial" w:hAnsi="Arial" w:cs="Arial"/>
          <w:sz w:val="20"/>
          <w:szCs w:val="20"/>
          <w:lang w:val="en-US"/>
        </w:rPr>
        <w:t>28 DAT and</w:t>
      </w:r>
      <w:r w:rsidR="00FC33BC">
        <w:rPr>
          <w:rFonts w:ascii="Arial" w:hAnsi="Arial" w:cs="Arial"/>
          <w:sz w:val="20"/>
          <w:szCs w:val="20"/>
          <w:lang w:val="en-US"/>
        </w:rPr>
        <w:t xml:space="preserve"> was consolidated at 42 DAT, where control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 level was</w:t>
      </w:r>
      <w:r w:rsidR="00FC33BC">
        <w:rPr>
          <w:rFonts w:ascii="Arial" w:hAnsi="Arial" w:cs="Arial"/>
          <w:sz w:val="20"/>
          <w:szCs w:val="20"/>
          <w:lang w:val="en-US"/>
        </w:rPr>
        <w:t xml:space="preserve"> of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 68% at </w:t>
      </w:r>
      <w:r w:rsidR="00FC33BC" w:rsidRPr="00FC33BC">
        <w:rPr>
          <w:rFonts w:ascii="Arial" w:hAnsi="Arial" w:cs="Arial"/>
          <w:sz w:val="20"/>
          <w:szCs w:val="20"/>
          <w:lang w:val="en-US"/>
        </w:rPr>
        <w:t>720 g e.a. ha</w:t>
      </w:r>
      <w:r w:rsidR="00FC33BC" w:rsidRPr="00FC33BC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FC33BC">
        <w:rPr>
          <w:rFonts w:ascii="Arial" w:hAnsi="Arial" w:cs="Arial"/>
          <w:sz w:val="20"/>
          <w:szCs w:val="20"/>
          <w:lang w:val="en-US"/>
        </w:rPr>
        <w:t xml:space="preserve">, 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rising to 87% at a </w:t>
      </w:r>
      <w:r w:rsidR="00FC33BC" w:rsidRPr="00FC33BC">
        <w:rPr>
          <w:rFonts w:ascii="Arial" w:hAnsi="Arial" w:cs="Arial"/>
          <w:sz w:val="20"/>
          <w:szCs w:val="20"/>
          <w:lang w:val="en-US"/>
        </w:rPr>
        <w:t>1440 g e.a. ha</w:t>
      </w:r>
      <w:r w:rsidR="00FC33BC" w:rsidRPr="00FC33BC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403C50"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 w:rsidR="00FC33BC">
        <w:rPr>
          <w:rFonts w:ascii="Arial" w:hAnsi="Arial" w:cs="Arial"/>
          <w:sz w:val="20"/>
          <w:szCs w:val="20"/>
          <w:lang w:val="en-US"/>
        </w:rPr>
        <w:t>dose and reaching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 90% at</w:t>
      </w:r>
      <w:r w:rsidR="00FC33BC">
        <w:rPr>
          <w:rFonts w:ascii="Arial" w:hAnsi="Arial" w:cs="Arial"/>
          <w:sz w:val="20"/>
          <w:szCs w:val="20"/>
          <w:lang w:val="en-US"/>
        </w:rPr>
        <w:t xml:space="preserve"> a </w:t>
      </w:r>
      <w:r w:rsidR="00FC33BC" w:rsidRPr="00FC33BC">
        <w:rPr>
          <w:rFonts w:ascii="Arial" w:hAnsi="Arial" w:cs="Arial"/>
          <w:sz w:val="20"/>
          <w:szCs w:val="20"/>
          <w:lang w:val="en-US"/>
        </w:rPr>
        <w:t>2160 g e. a. ha</w:t>
      </w:r>
      <w:r w:rsidR="00FC33BC" w:rsidRPr="00FC33BC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FC33BC">
        <w:rPr>
          <w:rFonts w:ascii="Arial" w:hAnsi="Arial" w:cs="Arial"/>
          <w:sz w:val="20"/>
          <w:szCs w:val="20"/>
          <w:lang w:val="en-US"/>
        </w:rPr>
        <w:t xml:space="preserve"> dose, characterizing 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control efficiency with </w:t>
      </w:r>
      <w:r w:rsidR="00FC33BC">
        <w:rPr>
          <w:rFonts w:ascii="Arial" w:hAnsi="Arial" w:cs="Arial"/>
          <w:sz w:val="20"/>
          <w:szCs w:val="20"/>
          <w:lang w:val="en-US"/>
        </w:rPr>
        <w:t xml:space="preserve">the increase of this herbicide 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dose, which corroborates </w:t>
      </w:r>
      <w:r w:rsidR="004430BE">
        <w:rPr>
          <w:rFonts w:ascii="Arial" w:hAnsi="Arial" w:cs="Arial"/>
          <w:sz w:val="20"/>
          <w:szCs w:val="20"/>
          <w:lang w:val="en-US"/>
        </w:rPr>
        <w:t xml:space="preserve">with </w:t>
      </w:r>
      <w:r w:rsidR="00EF476B" w:rsidRPr="00EF476B">
        <w:rPr>
          <w:rFonts w:ascii="Arial" w:hAnsi="Arial" w:cs="Arial"/>
          <w:sz w:val="20"/>
          <w:szCs w:val="20"/>
          <w:lang w:val="en-US"/>
        </w:rPr>
        <w:t>DORS et al. (2010)</w:t>
      </w:r>
      <w:r w:rsidR="004430BE">
        <w:rPr>
          <w:rFonts w:ascii="Arial" w:hAnsi="Arial" w:cs="Arial"/>
          <w:sz w:val="20"/>
          <w:szCs w:val="20"/>
          <w:lang w:val="en-US"/>
        </w:rPr>
        <w:t xml:space="preserve"> data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, </w:t>
      </w:r>
      <w:r w:rsidR="00FF08D3">
        <w:rPr>
          <w:rFonts w:ascii="Arial" w:hAnsi="Arial" w:cs="Arial"/>
          <w:sz w:val="20"/>
          <w:szCs w:val="20"/>
          <w:lang w:val="en-US"/>
        </w:rPr>
        <w:t xml:space="preserve">who </w:t>
      </w:r>
      <w:r w:rsidR="00EF476B" w:rsidRPr="00EF476B">
        <w:rPr>
          <w:rFonts w:ascii="Arial" w:hAnsi="Arial" w:cs="Arial"/>
          <w:sz w:val="20"/>
          <w:szCs w:val="20"/>
          <w:lang w:val="en-US"/>
        </w:rPr>
        <w:t>working with different glyphosate</w:t>
      </w:r>
      <w:r w:rsidR="00FF08D3">
        <w:rPr>
          <w:rFonts w:ascii="Arial" w:hAnsi="Arial" w:cs="Arial"/>
          <w:sz w:val="20"/>
          <w:szCs w:val="20"/>
          <w:lang w:val="en-US"/>
        </w:rPr>
        <w:t xml:space="preserve"> rates</w:t>
      </w:r>
      <w:r w:rsidR="00EF476B" w:rsidRPr="00EF476B">
        <w:rPr>
          <w:rFonts w:ascii="Arial" w:hAnsi="Arial" w:cs="Arial"/>
          <w:sz w:val="20"/>
          <w:szCs w:val="20"/>
          <w:lang w:val="en-US"/>
        </w:rPr>
        <w:t>, and two</w:t>
      </w:r>
      <w:r w:rsidR="00FF08D3">
        <w:rPr>
          <w:rFonts w:ascii="Arial" w:hAnsi="Arial" w:cs="Arial"/>
          <w:sz w:val="20"/>
          <w:szCs w:val="20"/>
          <w:lang w:val="en-US"/>
        </w:rPr>
        <w:t>ryegrass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 genotypes (diploid and tetraploid), observed an increase in the</w:t>
      </w:r>
      <w:r w:rsidR="00FF08D3">
        <w:rPr>
          <w:rFonts w:ascii="Arial" w:hAnsi="Arial" w:cs="Arial"/>
          <w:sz w:val="20"/>
          <w:szCs w:val="20"/>
          <w:lang w:val="en-US"/>
        </w:rPr>
        <w:t xml:space="preserve"> control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 level by increasing glyphosate herbicide</w:t>
      </w:r>
      <w:r w:rsidR="00FF08D3">
        <w:rPr>
          <w:rFonts w:ascii="Arial" w:hAnsi="Arial" w:cs="Arial"/>
          <w:sz w:val="20"/>
          <w:szCs w:val="20"/>
          <w:lang w:val="en-US"/>
        </w:rPr>
        <w:t xml:space="preserve"> dose</w:t>
      </w:r>
      <w:r w:rsidR="00EF476B" w:rsidRPr="00EF476B">
        <w:rPr>
          <w:rFonts w:ascii="Arial" w:hAnsi="Arial" w:cs="Arial"/>
          <w:sz w:val="20"/>
          <w:szCs w:val="20"/>
          <w:lang w:val="en-US"/>
        </w:rPr>
        <w:t>. These results show that although requiring high dose</w:t>
      </w:r>
      <w:r w:rsidR="00576D88">
        <w:rPr>
          <w:rFonts w:ascii="Arial" w:hAnsi="Arial" w:cs="Arial"/>
          <w:sz w:val="20"/>
          <w:szCs w:val="20"/>
          <w:lang w:val="en-US"/>
        </w:rPr>
        <w:t>s</w:t>
      </w:r>
      <w:r w:rsidR="00EF476B" w:rsidRPr="00EF476B">
        <w:rPr>
          <w:rFonts w:ascii="Arial" w:hAnsi="Arial" w:cs="Arial"/>
          <w:sz w:val="20"/>
          <w:szCs w:val="20"/>
          <w:lang w:val="en-US"/>
        </w:rPr>
        <w:t xml:space="preserve">, </w:t>
      </w:r>
      <w:r w:rsidR="00582336">
        <w:rPr>
          <w:rFonts w:ascii="Arial" w:hAnsi="Arial" w:cs="Arial"/>
          <w:sz w:val="20"/>
          <w:szCs w:val="20"/>
          <w:lang w:val="en-US"/>
        </w:rPr>
        <w:t xml:space="preserve">the evaluated </w:t>
      </w:r>
      <w:r w:rsidR="00EF476B" w:rsidRPr="00EF476B">
        <w:rPr>
          <w:rFonts w:ascii="Arial" w:hAnsi="Arial" w:cs="Arial"/>
          <w:sz w:val="20"/>
          <w:szCs w:val="20"/>
          <w:lang w:val="en-US"/>
        </w:rPr>
        <w:t>ryegrass biotype is sensitive to glyphosate.</w:t>
      </w:r>
    </w:p>
    <w:p w:rsidR="00C13896" w:rsidRPr="00EF476B" w:rsidRDefault="00EF476B" w:rsidP="00C13896">
      <w:pPr>
        <w:spacing w:line="480" w:lineRule="auto"/>
        <w:ind w:firstLine="708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EF476B">
        <w:rPr>
          <w:rFonts w:ascii="Arial" w:hAnsi="Arial" w:cs="Arial"/>
          <w:sz w:val="20"/>
          <w:szCs w:val="20"/>
          <w:lang w:val="en-US"/>
        </w:rPr>
        <w:t>The intensive</w:t>
      </w:r>
      <w:r w:rsidR="00621743">
        <w:rPr>
          <w:rFonts w:ascii="Arial" w:hAnsi="Arial" w:cs="Arial"/>
          <w:sz w:val="20"/>
          <w:szCs w:val="20"/>
          <w:lang w:val="en-US"/>
        </w:rPr>
        <w:t xml:space="preserve"> use of this herbicide molecule can bring consequences to its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control efficiency, </w:t>
      </w:r>
      <w:r w:rsidR="00621743">
        <w:rPr>
          <w:rFonts w:ascii="Arial" w:hAnsi="Arial" w:cs="Arial"/>
          <w:sz w:val="20"/>
          <w:szCs w:val="20"/>
          <w:lang w:val="en-US"/>
        </w:rPr>
        <w:t xml:space="preserve">as </w:t>
      </w:r>
      <w:r w:rsidRPr="00EF476B">
        <w:rPr>
          <w:rFonts w:ascii="Arial" w:hAnsi="Arial" w:cs="Arial"/>
          <w:sz w:val="20"/>
          <w:szCs w:val="20"/>
          <w:lang w:val="en-US"/>
        </w:rPr>
        <w:t>the lack of mechanisms</w:t>
      </w:r>
      <w:r w:rsidR="00DF16EC">
        <w:rPr>
          <w:rFonts w:ascii="Arial" w:hAnsi="Arial" w:cs="Arial"/>
          <w:sz w:val="20"/>
          <w:szCs w:val="20"/>
          <w:lang w:val="en-US"/>
        </w:rPr>
        <w:t xml:space="preserve"> of action</w:t>
      </w:r>
      <w:r w:rsidR="00621743">
        <w:rPr>
          <w:rFonts w:ascii="Arial" w:hAnsi="Arial" w:cs="Arial"/>
          <w:sz w:val="20"/>
          <w:szCs w:val="20"/>
          <w:lang w:val="en-US"/>
        </w:rPr>
        <w:t xml:space="preserve"> rotation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may increase the tolerance and </w:t>
      </w:r>
      <w:r w:rsidR="00621743">
        <w:rPr>
          <w:rFonts w:ascii="Arial" w:hAnsi="Arial" w:cs="Arial"/>
          <w:sz w:val="20"/>
          <w:szCs w:val="20"/>
          <w:lang w:val="en-US"/>
        </w:rPr>
        <w:t xml:space="preserve">resistance cases, besides </w:t>
      </w:r>
      <w:r w:rsidR="00432588">
        <w:rPr>
          <w:rFonts w:ascii="Arial" w:hAnsi="Arial" w:cs="Arial"/>
          <w:sz w:val="20"/>
          <w:szCs w:val="20"/>
          <w:lang w:val="en-US"/>
        </w:rPr>
        <w:t xml:space="preserve">that </w:t>
      </w:r>
      <w:r w:rsidR="00621743">
        <w:rPr>
          <w:rFonts w:ascii="Arial" w:hAnsi="Arial" w:cs="Arial"/>
          <w:sz w:val="20"/>
          <w:szCs w:val="20"/>
          <w:lang w:val="en-US"/>
        </w:rPr>
        <w:t xml:space="preserve">recommended doses </w:t>
      </w:r>
      <w:r w:rsidR="00432588">
        <w:rPr>
          <w:rFonts w:ascii="Arial" w:hAnsi="Arial" w:cs="Arial"/>
          <w:sz w:val="20"/>
          <w:szCs w:val="20"/>
          <w:lang w:val="en-US"/>
        </w:rPr>
        <w:t xml:space="preserve">which </w:t>
      </w:r>
      <w:r w:rsidR="00621743">
        <w:rPr>
          <w:rFonts w:ascii="Arial" w:hAnsi="Arial" w:cs="Arial"/>
          <w:sz w:val="20"/>
          <w:szCs w:val="20"/>
          <w:lang w:val="en-US"/>
        </w:rPr>
        <w:t>would effectively control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the species</w:t>
      </w:r>
      <w:r w:rsidR="00432588">
        <w:rPr>
          <w:rFonts w:ascii="Arial" w:hAnsi="Arial" w:cs="Arial"/>
          <w:sz w:val="20"/>
          <w:szCs w:val="20"/>
          <w:lang w:val="en-US"/>
        </w:rPr>
        <w:t xml:space="preserve"> before could</w:t>
      </w:r>
      <w:r w:rsidR="00621743">
        <w:rPr>
          <w:rFonts w:ascii="Arial" w:hAnsi="Arial" w:cs="Arial"/>
          <w:sz w:val="20"/>
          <w:szCs w:val="20"/>
          <w:lang w:val="en-US"/>
        </w:rPr>
        <w:t xml:space="preserve"> lose its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effectiveness</w:t>
      </w:r>
      <w:r w:rsidR="008261DB">
        <w:rPr>
          <w:rFonts w:ascii="Arial" w:hAnsi="Arial" w:cs="Arial"/>
          <w:sz w:val="20"/>
          <w:szCs w:val="20"/>
          <w:lang w:val="en-US"/>
        </w:rPr>
        <w:t xml:space="preserve">. </w:t>
      </w:r>
      <w:r w:rsidR="00432588">
        <w:rPr>
          <w:rFonts w:ascii="Arial" w:hAnsi="Arial" w:cs="Arial"/>
          <w:sz w:val="20"/>
          <w:szCs w:val="20"/>
          <w:lang w:val="en-US"/>
        </w:rPr>
        <w:t xml:space="preserve">This can be seen in this work through a better 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glyphosate control over </w:t>
      </w:r>
      <w:r w:rsidR="008261DB">
        <w:rPr>
          <w:rFonts w:ascii="Arial" w:hAnsi="Arial" w:cs="Arial"/>
          <w:sz w:val="20"/>
          <w:szCs w:val="20"/>
          <w:lang w:val="en-US"/>
        </w:rPr>
        <w:t>ryegrass when increasing this herbicide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dose.</w:t>
      </w:r>
    </w:p>
    <w:p w:rsidR="00C13896" w:rsidRPr="00EF476B" w:rsidRDefault="00EF476B" w:rsidP="00C13896">
      <w:pPr>
        <w:spacing w:line="480" w:lineRule="auto"/>
        <w:ind w:firstLine="708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EF476B">
        <w:rPr>
          <w:rFonts w:ascii="Arial" w:hAnsi="Arial" w:cs="Arial"/>
          <w:sz w:val="20"/>
          <w:szCs w:val="20"/>
          <w:lang w:val="en-US"/>
        </w:rPr>
        <w:t>An alternative for ryegrass</w:t>
      </w:r>
      <w:r w:rsidR="00F80196">
        <w:rPr>
          <w:rFonts w:ascii="Arial" w:hAnsi="Arial" w:cs="Arial"/>
          <w:sz w:val="20"/>
          <w:szCs w:val="20"/>
          <w:lang w:val="en-US"/>
        </w:rPr>
        <w:t xml:space="preserve"> control with</w:t>
      </w:r>
      <w:r w:rsidR="00403C50">
        <w:rPr>
          <w:rFonts w:ascii="Arial" w:hAnsi="Arial" w:cs="Arial"/>
          <w:sz w:val="20"/>
          <w:szCs w:val="20"/>
          <w:lang w:val="en-US"/>
        </w:rPr>
        <w:t xml:space="preserve"> </w:t>
      </w:r>
      <w:r w:rsidRPr="00EF476B">
        <w:rPr>
          <w:rFonts w:ascii="Arial" w:hAnsi="Arial" w:cs="Arial"/>
          <w:sz w:val="20"/>
          <w:szCs w:val="20"/>
          <w:lang w:val="en-US"/>
        </w:rPr>
        <w:t>mechanism</w:t>
      </w:r>
      <w:r w:rsidR="00F80196">
        <w:rPr>
          <w:rFonts w:ascii="Arial" w:hAnsi="Arial" w:cs="Arial"/>
          <w:sz w:val="20"/>
          <w:szCs w:val="20"/>
          <w:lang w:val="en-US"/>
        </w:rPr>
        <w:t>s</w:t>
      </w:r>
      <w:r w:rsidR="00403C50">
        <w:rPr>
          <w:rFonts w:ascii="Arial" w:hAnsi="Arial" w:cs="Arial"/>
          <w:sz w:val="20"/>
          <w:szCs w:val="20"/>
          <w:lang w:val="en-US"/>
        </w:rPr>
        <w:t xml:space="preserve"> of action</w:t>
      </w:r>
      <w:r w:rsidR="00F80196">
        <w:rPr>
          <w:rFonts w:ascii="Arial" w:hAnsi="Arial" w:cs="Arial"/>
          <w:sz w:val="20"/>
          <w:szCs w:val="20"/>
          <w:lang w:val="en-US"/>
        </w:rPr>
        <w:t xml:space="preserve"> rotation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is the use of ACCase inhibitors</w:t>
      </w:r>
      <w:r w:rsidR="00F80196">
        <w:rPr>
          <w:rFonts w:ascii="Arial" w:hAnsi="Arial" w:cs="Arial"/>
          <w:sz w:val="20"/>
          <w:szCs w:val="20"/>
          <w:lang w:val="en-US"/>
        </w:rPr>
        <w:t>, which</w:t>
      </w:r>
      <w:r w:rsidR="00403C50">
        <w:rPr>
          <w:rFonts w:ascii="Arial" w:hAnsi="Arial" w:cs="Arial"/>
          <w:sz w:val="20"/>
          <w:szCs w:val="20"/>
          <w:lang w:val="en-US"/>
        </w:rPr>
        <w:t xml:space="preserve"> 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can be applied alone or in combination with other herbicides, including glyphosate. These, when applied in isolation, showed early </w:t>
      </w:r>
      <w:r w:rsidR="00785CB1">
        <w:rPr>
          <w:rFonts w:ascii="Arial" w:hAnsi="Arial" w:cs="Arial"/>
          <w:sz w:val="20"/>
          <w:szCs w:val="20"/>
          <w:lang w:val="en-US"/>
        </w:rPr>
        <w:t>control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level </w:t>
      </w:r>
      <w:r w:rsidR="00785CB1">
        <w:rPr>
          <w:rFonts w:ascii="Arial" w:hAnsi="Arial" w:cs="Arial"/>
          <w:sz w:val="20"/>
          <w:szCs w:val="20"/>
          <w:lang w:val="en-US"/>
        </w:rPr>
        <w:t xml:space="preserve">differentiation at 14 DAT 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(Table 2), even if below 50%, which </w:t>
      </w:r>
      <w:r w:rsidR="00785CB1">
        <w:rPr>
          <w:rFonts w:ascii="Arial" w:hAnsi="Arial" w:cs="Arial"/>
          <w:sz w:val="20"/>
          <w:szCs w:val="20"/>
          <w:lang w:val="en-US"/>
        </w:rPr>
        <w:t xml:space="preserve">was consolidated at 28 DAT, where 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clethodim and quizalofop-p </w:t>
      </w:r>
      <w:r w:rsidR="00785CB1">
        <w:rPr>
          <w:rFonts w:ascii="Arial" w:hAnsi="Arial" w:cs="Arial"/>
          <w:sz w:val="20"/>
          <w:szCs w:val="20"/>
          <w:lang w:val="en-US"/>
        </w:rPr>
        <w:t>–</w:t>
      </w:r>
      <w:r w:rsidR="00D322C8">
        <w:rPr>
          <w:rFonts w:ascii="Arial" w:hAnsi="Arial" w:cs="Arial"/>
          <w:sz w:val="20"/>
          <w:szCs w:val="20"/>
          <w:lang w:val="en-US"/>
        </w:rPr>
        <w:t>tefuril</w:t>
      </w:r>
      <w:r w:rsidR="00785CB1">
        <w:rPr>
          <w:rFonts w:ascii="Arial" w:hAnsi="Arial" w:cs="Arial"/>
          <w:sz w:val="20"/>
          <w:szCs w:val="20"/>
          <w:lang w:val="en-US"/>
        </w:rPr>
        <w:t>herbicides were highlighted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and, at 42 DAT, this </w:t>
      </w:r>
      <w:r w:rsidR="00785CB1">
        <w:rPr>
          <w:rFonts w:ascii="Arial" w:hAnsi="Arial" w:cs="Arial"/>
          <w:sz w:val="20"/>
          <w:szCs w:val="20"/>
          <w:lang w:val="en-US"/>
        </w:rPr>
        <w:t>85 and 83%</w:t>
      </w:r>
      <w:r w:rsidR="00403C50">
        <w:rPr>
          <w:rFonts w:ascii="Arial" w:hAnsi="Arial" w:cs="Arial"/>
          <w:sz w:val="20"/>
          <w:szCs w:val="20"/>
          <w:lang w:val="en-US"/>
        </w:rPr>
        <w:t xml:space="preserve"> </w:t>
      </w:r>
      <w:r w:rsidR="00785CB1">
        <w:rPr>
          <w:rFonts w:ascii="Arial" w:hAnsi="Arial" w:cs="Arial"/>
          <w:sz w:val="20"/>
          <w:szCs w:val="20"/>
          <w:lang w:val="en-US"/>
        </w:rPr>
        <w:t xml:space="preserve">control </w:t>
      </w:r>
      <w:r w:rsidRPr="00EF476B">
        <w:rPr>
          <w:rFonts w:ascii="Arial" w:hAnsi="Arial" w:cs="Arial"/>
          <w:sz w:val="20"/>
          <w:szCs w:val="20"/>
          <w:lang w:val="en-US"/>
        </w:rPr>
        <w:t>advantage</w:t>
      </w:r>
      <w:r w:rsidR="00D322C8">
        <w:rPr>
          <w:rFonts w:ascii="Arial" w:hAnsi="Arial" w:cs="Arial"/>
          <w:sz w:val="20"/>
          <w:szCs w:val="20"/>
          <w:lang w:val="en-US"/>
        </w:rPr>
        <w:t xml:space="preserve"> was</w:t>
      </w:r>
      <w:r w:rsidR="00261F4B">
        <w:rPr>
          <w:rFonts w:ascii="Arial" w:hAnsi="Arial" w:cs="Arial"/>
          <w:sz w:val="20"/>
          <w:szCs w:val="20"/>
          <w:lang w:val="en-US"/>
        </w:rPr>
        <w:t xml:space="preserve"> maintained,</w:t>
      </w:r>
      <w:r w:rsidR="00656386">
        <w:rPr>
          <w:rFonts w:ascii="Arial" w:hAnsi="Arial" w:cs="Arial"/>
          <w:sz w:val="20"/>
          <w:szCs w:val="20"/>
          <w:lang w:val="en-US"/>
        </w:rPr>
        <w:t xml:space="preserve"> comparing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to fluazifop-p-butyl and clodinafop (54 and 30% of control).</w:t>
      </w:r>
    </w:p>
    <w:p w:rsidR="00C13896" w:rsidRPr="00EF476B" w:rsidRDefault="00EF476B" w:rsidP="00C13896">
      <w:pPr>
        <w:spacing w:line="480" w:lineRule="auto"/>
        <w:ind w:firstLine="708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EF476B">
        <w:rPr>
          <w:rFonts w:ascii="Arial" w:hAnsi="Arial" w:cs="Arial"/>
          <w:sz w:val="20"/>
          <w:szCs w:val="20"/>
          <w:lang w:val="en-US"/>
        </w:rPr>
        <w:t>Among ACCase inhibitors, only cleth</w:t>
      </w:r>
      <w:r w:rsidR="00233D7E">
        <w:rPr>
          <w:rFonts w:ascii="Arial" w:hAnsi="Arial" w:cs="Arial"/>
          <w:sz w:val="20"/>
          <w:szCs w:val="20"/>
          <w:lang w:val="en-US"/>
        </w:rPr>
        <w:t>odim and quizalofop-p-tefuril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reached control levels similar to that of glyphosate at 28 and 42 DAT</w:t>
      </w:r>
      <w:r w:rsidR="00233D7E">
        <w:rPr>
          <w:rFonts w:ascii="Arial" w:hAnsi="Arial" w:cs="Arial"/>
          <w:sz w:val="20"/>
          <w:szCs w:val="20"/>
          <w:lang w:val="en-US"/>
        </w:rPr>
        <w:t>,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at 720 and </w:t>
      </w:r>
      <w:r w:rsidR="00233D7E" w:rsidRPr="00233D7E">
        <w:rPr>
          <w:rFonts w:ascii="Arial" w:hAnsi="Arial" w:cs="Arial"/>
          <w:sz w:val="20"/>
          <w:szCs w:val="20"/>
          <w:lang w:val="en-US"/>
        </w:rPr>
        <w:t>1440 g e.a. ha</w:t>
      </w:r>
      <w:r w:rsidR="00233D7E" w:rsidRPr="00233D7E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233D7E">
        <w:rPr>
          <w:rFonts w:ascii="Arial" w:hAnsi="Arial" w:cs="Arial"/>
          <w:sz w:val="20"/>
          <w:szCs w:val="20"/>
          <w:lang w:val="en-US"/>
        </w:rPr>
        <w:t xml:space="preserve"> doses. However, they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needed more time to achieve this level of control wh</w:t>
      </w:r>
      <w:r w:rsidR="00233D7E">
        <w:rPr>
          <w:rFonts w:ascii="Arial" w:hAnsi="Arial" w:cs="Arial"/>
          <w:sz w:val="20"/>
          <w:szCs w:val="20"/>
          <w:lang w:val="en-US"/>
        </w:rPr>
        <w:t>en compared to these two doses</w:t>
      </w:r>
      <w:r w:rsidR="00283FDF">
        <w:rPr>
          <w:rFonts w:ascii="Arial" w:hAnsi="Arial" w:cs="Arial"/>
          <w:sz w:val="20"/>
          <w:szCs w:val="20"/>
          <w:lang w:val="en-US"/>
        </w:rPr>
        <w:t>,</w:t>
      </w:r>
      <w:r w:rsidR="00233D7E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EF476B">
        <w:rPr>
          <w:rFonts w:ascii="Arial" w:hAnsi="Arial" w:cs="Arial"/>
          <w:sz w:val="20"/>
          <w:szCs w:val="20"/>
          <w:lang w:val="en-US"/>
        </w:rPr>
        <w:t>always provided lower levels of control compar</w:t>
      </w:r>
      <w:r w:rsidR="00233D7E">
        <w:rPr>
          <w:rFonts w:ascii="Arial" w:hAnsi="Arial" w:cs="Arial"/>
          <w:sz w:val="20"/>
          <w:szCs w:val="20"/>
          <w:lang w:val="en-US"/>
        </w:rPr>
        <w:t xml:space="preserve">ed to glyphosate </w:t>
      </w:r>
      <w:r w:rsidR="00233D7E" w:rsidRPr="00233D7E">
        <w:rPr>
          <w:rFonts w:ascii="Arial" w:hAnsi="Arial" w:cs="Arial"/>
          <w:sz w:val="20"/>
          <w:szCs w:val="20"/>
          <w:lang w:val="en-US"/>
        </w:rPr>
        <w:t>2160 g e.a. ha</w:t>
      </w:r>
      <w:r w:rsidR="00233D7E" w:rsidRPr="00233D7E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233D7E">
        <w:rPr>
          <w:rFonts w:ascii="Arial" w:hAnsi="Arial" w:cs="Arial"/>
          <w:sz w:val="20"/>
          <w:szCs w:val="20"/>
          <w:lang w:val="en-US"/>
        </w:rPr>
        <w:t xml:space="preserve">. 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ACCase inhibitors </w:t>
      </w:r>
      <w:r w:rsidR="00233D7E">
        <w:rPr>
          <w:rFonts w:ascii="Arial" w:hAnsi="Arial" w:cs="Arial"/>
          <w:sz w:val="20"/>
          <w:szCs w:val="20"/>
          <w:lang w:val="en-US"/>
        </w:rPr>
        <w:t xml:space="preserve">application alone was not </w:t>
      </w:r>
      <w:r w:rsidRPr="00EF476B">
        <w:rPr>
          <w:rFonts w:ascii="Arial" w:hAnsi="Arial" w:cs="Arial"/>
          <w:sz w:val="20"/>
          <w:szCs w:val="20"/>
          <w:lang w:val="en-US"/>
        </w:rPr>
        <w:t>effective in control</w:t>
      </w:r>
      <w:r w:rsidR="00233D7E">
        <w:rPr>
          <w:rFonts w:ascii="Arial" w:hAnsi="Arial" w:cs="Arial"/>
          <w:sz w:val="20"/>
          <w:szCs w:val="20"/>
          <w:lang w:val="en-US"/>
        </w:rPr>
        <w:t>ling ryegrass, as besides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tak</w:t>
      </w:r>
      <w:r w:rsidR="00233D7E">
        <w:rPr>
          <w:rFonts w:ascii="Arial" w:hAnsi="Arial" w:cs="Arial"/>
          <w:sz w:val="20"/>
          <w:szCs w:val="20"/>
          <w:lang w:val="en-US"/>
        </w:rPr>
        <w:t>ing more time,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control always prove</w:t>
      </w:r>
      <w:r w:rsidR="00233D7E">
        <w:rPr>
          <w:rFonts w:ascii="Arial" w:hAnsi="Arial" w:cs="Arial"/>
          <w:sz w:val="20"/>
          <w:szCs w:val="20"/>
          <w:lang w:val="en-US"/>
        </w:rPr>
        <w:t>d to be lower than that of its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associations with glyphosate. So</w:t>
      </w:r>
      <w:r w:rsidR="00757FD2">
        <w:rPr>
          <w:rFonts w:ascii="Arial" w:hAnsi="Arial" w:cs="Arial"/>
          <w:sz w:val="20"/>
          <w:szCs w:val="20"/>
          <w:lang w:val="en-US"/>
        </w:rPr>
        <w:t>,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the option for effective control, </w:t>
      </w:r>
      <w:r w:rsidR="00757FD2">
        <w:rPr>
          <w:rFonts w:ascii="Arial" w:hAnsi="Arial" w:cs="Arial"/>
          <w:sz w:val="20"/>
          <w:szCs w:val="20"/>
          <w:lang w:val="en-US"/>
        </w:rPr>
        <w:t xml:space="preserve">especially in areas where </w:t>
      </w:r>
      <w:r w:rsidR="005E26B7">
        <w:rPr>
          <w:rFonts w:ascii="Arial" w:hAnsi="Arial" w:cs="Arial"/>
          <w:sz w:val="20"/>
          <w:szCs w:val="20"/>
          <w:lang w:val="en-US"/>
        </w:rPr>
        <w:t>there are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no resistant plants</w:t>
      </w:r>
      <w:r w:rsidR="00757FD2">
        <w:rPr>
          <w:rFonts w:ascii="Arial" w:hAnsi="Arial" w:cs="Arial"/>
          <w:sz w:val="20"/>
          <w:szCs w:val="20"/>
          <w:lang w:val="en-US"/>
        </w:rPr>
        <w:t xml:space="preserve"> presence</w:t>
      </w:r>
      <w:r w:rsidR="003D23D4">
        <w:rPr>
          <w:rFonts w:ascii="Arial" w:hAnsi="Arial" w:cs="Arial"/>
          <w:sz w:val="20"/>
          <w:szCs w:val="20"/>
          <w:lang w:val="en-US"/>
        </w:rPr>
        <w:t xml:space="preserve"> </w:t>
      </w:r>
      <w:r w:rsidR="005E26B7">
        <w:rPr>
          <w:rFonts w:ascii="Arial" w:hAnsi="Arial" w:cs="Arial"/>
          <w:sz w:val="20"/>
          <w:szCs w:val="20"/>
          <w:lang w:val="en-US"/>
        </w:rPr>
        <w:t>knowledge, to prevent</w:t>
      </w:r>
      <w:r w:rsidRPr="00EF476B">
        <w:rPr>
          <w:rFonts w:ascii="Arial" w:hAnsi="Arial" w:cs="Arial"/>
          <w:sz w:val="20"/>
          <w:szCs w:val="20"/>
          <w:lang w:val="en-US"/>
        </w:rPr>
        <w:t xml:space="preserve"> emergence, is the association of ACCase inhibitors with other herbicides, including glyphosate.</w:t>
      </w:r>
    </w:p>
    <w:p w:rsidR="00C13896" w:rsidRPr="00DC2197" w:rsidRDefault="000D471D" w:rsidP="00C13896">
      <w:pPr>
        <w:spacing w:line="480" w:lineRule="auto"/>
        <w:ind w:firstLine="708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="00DC2197" w:rsidRPr="00DC2197">
        <w:rPr>
          <w:rFonts w:ascii="Arial" w:hAnsi="Arial" w:cs="Arial"/>
          <w:sz w:val="20"/>
          <w:szCs w:val="20"/>
          <w:lang w:val="en-US"/>
        </w:rPr>
        <w:t>ssociations proved to be superior or equal to the other treatments virtually</w:t>
      </w:r>
      <w:r w:rsidR="00D1797E">
        <w:rPr>
          <w:rFonts w:ascii="Arial" w:hAnsi="Arial" w:cs="Arial"/>
          <w:sz w:val="20"/>
          <w:szCs w:val="20"/>
          <w:lang w:val="en-US"/>
        </w:rPr>
        <w:t xml:space="preserve"> in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all evaluations, showing to be an efficient alternative for ryegrass</w:t>
      </w:r>
      <w:r w:rsidR="00D1797E">
        <w:rPr>
          <w:rFonts w:ascii="Arial" w:hAnsi="Arial" w:cs="Arial"/>
          <w:sz w:val="20"/>
          <w:szCs w:val="20"/>
          <w:lang w:val="en-US"/>
        </w:rPr>
        <w:t xml:space="preserve"> control</w:t>
      </w:r>
      <w:r w:rsidR="008C44FC">
        <w:rPr>
          <w:rFonts w:ascii="Arial" w:hAnsi="Arial" w:cs="Arial"/>
          <w:sz w:val="20"/>
          <w:szCs w:val="20"/>
          <w:lang w:val="en-US"/>
        </w:rPr>
        <w:t>. Glyphosate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+ clethodim</w:t>
      </w:r>
      <w:r w:rsidR="00234B94">
        <w:rPr>
          <w:rFonts w:ascii="Arial" w:hAnsi="Arial" w:cs="Arial"/>
          <w:sz w:val="20"/>
          <w:szCs w:val="20"/>
          <w:lang w:val="en-US"/>
        </w:rPr>
        <w:t xml:space="preserve"> </w:t>
      </w:r>
      <w:r w:rsidR="00DC2197" w:rsidRPr="00DC2197">
        <w:rPr>
          <w:rFonts w:ascii="Arial" w:hAnsi="Arial" w:cs="Arial"/>
          <w:sz w:val="20"/>
          <w:szCs w:val="20"/>
          <w:lang w:val="en-US"/>
        </w:rPr>
        <w:t>(</w:t>
      </w:r>
      <w:r w:rsidR="008C44FC" w:rsidRPr="008C44FC">
        <w:rPr>
          <w:rFonts w:ascii="Arial" w:hAnsi="Arial" w:cs="Arial"/>
          <w:sz w:val="20"/>
          <w:szCs w:val="20"/>
          <w:lang w:val="en-US"/>
        </w:rPr>
        <w:t>720 g e.a. ha</w:t>
      </w:r>
      <w:r w:rsidR="008C44FC" w:rsidRPr="008C44FC">
        <w:rPr>
          <w:rFonts w:ascii="Arial" w:hAnsi="Arial" w:cs="Arial"/>
          <w:sz w:val="20"/>
          <w:szCs w:val="20"/>
          <w:vertAlign w:val="superscript"/>
          <w:lang w:val="en-US"/>
        </w:rPr>
        <w:t xml:space="preserve">-1 </w:t>
      </w:r>
      <w:r w:rsidR="008C44FC" w:rsidRPr="008C44FC">
        <w:rPr>
          <w:rFonts w:ascii="Arial" w:hAnsi="Arial" w:cs="Arial"/>
          <w:sz w:val="20"/>
          <w:szCs w:val="20"/>
          <w:lang w:val="en-US"/>
        </w:rPr>
        <w:t>+ 72 g ha</w:t>
      </w:r>
      <w:r w:rsidR="008C44FC" w:rsidRPr="008C44FC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DC2197" w:rsidRPr="00DC2197">
        <w:rPr>
          <w:rFonts w:ascii="Arial" w:hAnsi="Arial" w:cs="Arial"/>
          <w:sz w:val="20"/>
          <w:szCs w:val="20"/>
          <w:lang w:val="en-US"/>
        </w:rPr>
        <w:t>)</w:t>
      </w:r>
      <w:r w:rsidR="008C44FC">
        <w:rPr>
          <w:rFonts w:ascii="Arial" w:hAnsi="Arial" w:cs="Arial"/>
          <w:sz w:val="20"/>
          <w:szCs w:val="20"/>
          <w:lang w:val="en-US"/>
        </w:rPr>
        <w:t xml:space="preserve"> association was superior in most evaluations</w:t>
      </w:r>
      <w:r w:rsidR="00DC2197" w:rsidRPr="00DC2197">
        <w:rPr>
          <w:rFonts w:ascii="Arial" w:hAnsi="Arial" w:cs="Arial"/>
          <w:sz w:val="20"/>
          <w:szCs w:val="20"/>
          <w:lang w:val="en-US"/>
        </w:rPr>
        <w:t>, consolidatin</w:t>
      </w:r>
      <w:r w:rsidR="008C44FC">
        <w:rPr>
          <w:rFonts w:ascii="Arial" w:hAnsi="Arial" w:cs="Arial"/>
          <w:sz w:val="20"/>
          <w:szCs w:val="20"/>
          <w:lang w:val="en-US"/>
        </w:rPr>
        <w:t>g its efficiency at 28 DAT, when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94% control</w:t>
      </w:r>
      <w:r w:rsidR="008C44FC">
        <w:rPr>
          <w:rFonts w:ascii="Arial" w:hAnsi="Arial" w:cs="Arial"/>
          <w:sz w:val="20"/>
          <w:szCs w:val="20"/>
          <w:lang w:val="en-US"/>
        </w:rPr>
        <w:t xml:space="preserve"> </w:t>
      </w:r>
      <w:r w:rsidR="008C44FC">
        <w:rPr>
          <w:rFonts w:ascii="Arial" w:hAnsi="Arial" w:cs="Arial"/>
          <w:sz w:val="20"/>
          <w:szCs w:val="20"/>
          <w:lang w:val="en-US"/>
        </w:rPr>
        <w:lastRenderedPageBreak/>
        <w:t>was presented and maintained until 42 DAT. G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lyphosate + fluazifop-p-butyl </w:t>
      </w:r>
      <w:r w:rsidR="008C44FC">
        <w:rPr>
          <w:rFonts w:ascii="Arial" w:hAnsi="Arial" w:cs="Arial"/>
          <w:sz w:val="20"/>
          <w:szCs w:val="20"/>
          <w:lang w:val="en-US"/>
        </w:rPr>
        <w:t>(</w:t>
      </w:r>
      <w:r w:rsidR="008C44FC" w:rsidRPr="008C44FC">
        <w:rPr>
          <w:rFonts w:ascii="Arial" w:hAnsi="Arial" w:cs="Arial"/>
          <w:sz w:val="20"/>
          <w:szCs w:val="20"/>
          <w:lang w:val="en-US"/>
        </w:rPr>
        <w:t>720 g e.a. ha</w:t>
      </w:r>
      <w:r w:rsidR="008C44FC" w:rsidRPr="008C44FC">
        <w:rPr>
          <w:rFonts w:ascii="Arial" w:hAnsi="Arial" w:cs="Arial"/>
          <w:sz w:val="20"/>
          <w:szCs w:val="20"/>
          <w:vertAlign w:val="superscript"/>
          <w:lang w:val="en-US"/>
        </w:rPr>
        <w:t xml:space="preserve">-1 </w:t>
      </w:r>
      <w:r w:rsidR="008C44FC" w:rsidRPr="008C44FC">
        <w:rPr>
          <w:rFonts w:ascii="Arial" w:hAnsi="Arial" w:cs="Arial"/>
          <w:sz w:val="20"/>
          <w:szCs w:val="20"/>
          <w:lang w:val="en-US"/>
        </w:rPr>
        <w:t>+ 200 g ha</w:t>
      </w:r>
      <w:r w:rsidR="008C44FC" w:rsidRPr="008C44FC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DC2197" w:rsidRPr="00DC2197">
        <w:rPr>
          <w:rFonts w:ascii="Arial" w:hAnsi="Arial" w:cs="Arial"/>
          <w:sz w:val="20"/>
          <w:szCs w:val="20"/>
          <w:lang w:val="en-US"/>
        </w:rPr>
        <w:t>) and glyp</w:t>
      </w:r>
      <w:r w:rsidR="008C44FC">
        <w:rPr>
          <w:rFonts w:ascii="Arial" w:hAnsi="Arial" w:cs="Arial"/>
          <w:sz w:val="20"/>
          <w:szCs w:val="20"/>
          <w:lang w:val="en-US"/>
        </w:rPr>
        <w:t>hosate + quizalofop-p-tefuril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(</w:t>
      </w:r>
      <w:r w:rsidR="008C44FC" w:rsidRPr="008C44FC">
        <w:rPr>
          <w:rFonts w:ascii="Arial" w:hAnsi="Arial" w:cs="Arial"/>
          <w:sz w:val="20"/>
          <w:szCs w:val="20"/>
          <w:lang w:val="en-US"/>
        </w:rPr>
        <w:t>720 g e.a. ha</w:t>
      </w:r>
      <w:r w:rsidR="008C44FC" w:rsidRPr="008C44FC">
        <w:rPr>
          <w:rFonts w:ascii="Arial" w:hAnsi="Arial" w:cs="Arial"/>
          <w:sz w:val="20"/>
          <w:szCs w:val="20"/>
          <w:vertAlign w:val="superscript"/>
          <w:lang w:val="en-US"/>
        </w:rPr>
        <w:t xml:space="preserve">-1 </w:t>
      </w:r>
      <w:r w:rsidR="008C44FC" w:rsidRPr="008C44FC">
        <w:rPr>
          <w:rFonts w:ascii="Arial" w:hAnsi="Arial" w:cs="Arial"/>
          <w:sz w:val="20"/>
          <w:szCs w:val="20"/>
          <w:lang w:val="en-US"/>
        </w:rPr>
        <w:t>+ 96 g ha</w:t>
      </w:r>
      <w:r w:rsidR="008C44FC" w:rsidRPr="008C44FC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DC2197" w:rsidRPr="00DC2197">
        <w:rPr>
          <w:rFonts w:ascii="Arial" w:hAnsi="Arial" w:cs="Arial"/>
          <w:sz w:val="20"/>
          <w:szCs w:val="20"/>
          <w:lang w:val="en-US"/>
        </w:rPr>
        <w:t>)</w:t>
      </w:r>
      <w:r w:rsidR="008C44FC">
        <w:rPr>
          <w:rFonts w:ascii="Arial" w:hAnsi="Arial" w:cs="Arial"/>
          <w:sz w:val="20"/>
          <w:szCs w:val="20"/>
          <w:lang w:val="en-US"/>
        </w:rPr>
        <w:t xml:space="preserve"> associations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also showed superior</w:t>
      </w:r>
      <w:r w:rsidR="008C44FC">
        <w:rPr>
          <w:rFonts w:ascii="Arial" w:hAnsi="Arial" w:cs="Arial"/>
          <w:sz w:val="20"/>
          <w:szCs w:val="20"/>
          <w:lang w:val="en-US"/>
        </w:rPr>
        <w:t>ity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in several evaluations,</w:t>
      </w:r>
      <w:r w:rsidR="00BE6918">
        <w:rPr>
          <w:rFonts w:ascii="Arial" w:hAnsi="Arial" w:cs="Arial"/>
          <w:sz w:val="20"/>
          <w:szCs w:val="20"/>
          <w:lang w:val="en-US"/>
        </w:rPr>
        <w:t xml:space="preserve"> and along with clethodim association,</w:t>
      </w:r>
      <w:r w:rsidR="00CA3456">
        <w:rPr>
          <w:rFonts w:ascii="Arial" w:hAnsi="Arial" w:cs="Arial"/>
          <w:sz w:val="20"/>
          <w:szCs w:val="20"/>
          <w:lang w:val="en-US"/>
        </w:rPr>
        <w:t xml:space="preserve"> </w:t>
      </w:r>
      <w:r w:rsidR="008C44FC">
        <w:rPr>
          <w:rFonts w:ascii="Arial" w:hAnsi="Arial" w:cs="Arial"/>
          <w:sz w:val="20"/>
          <w:szCs w:val="20"/>
          <w:lang w:val="en-US"/>
        </w:rPr>
        <w:t>were effective alternatives to ryegrass control</w:t>
      </w:r>
      <w:r w:rsidR="00BE6918">
        <w:rPr>
          <w:rFonts w:ascii="Arial" w:hAnsi="Arial" w:cs="Arial"/>
          <w:sz w:val="20"/>
          <w:szCs w:val="20"/>
          <w:lang w:val="en-US"/>
        </w:rPr>
        <w:t>.</w:t>
      </w:r>
    </w:p>
    <w:p w:rsidR="00C13896" w:rsidRPr="00DC2197" w:rsidRDefault="00DC2197" w:rsidP="00C13896">
      <w:pPr>
        <w:spacing w:line="480" w:lineRule="auto"/>
        <w:ind w:firstLine="708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C2197">
        <w:rPr>
          <w:rFonts w:ascii="Arial" w:hAnsi="Arial" w:cs="Arial"/>
          <w:sz w:val="20"/>
          <w:szCs w:val="20"/>
          <w:lang w:val="en-US"/>
        </w:rPr>
        <w:t>At 21 DAT</w:t>
      </w:r>
      <w:r w:rsidR="00BE6918">
        <w:rPr>
          <w:rFonts w:ascii="Arial" w:hAnsi="Arial" w:cs="Arial"/>
          <w:sz w:val="20"/>
          <w:szCs w:val="20"/>
          <w:lang w:val="en-US"/>
        </w:rPr>
        <w:t>,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the best </w:t>
      </w:r>
      <w:r w:rsidR="00BE6918">
        <w:rPr>
          <w:rFonts w:ascii="Arial" w:hAnsi="Arial" w:cs="Arial"/>
          <w:sz w:val="20"/>
          <w:szCs w:val="20"/>
          <w:lang w:val="en-US"/>
        </w:rPr>
        <w:t>glyphosate (</w:t>
      </w:r>
      <w:r w:rsidR="00BE6918" w:rsidRPr="00BE6918">
        <w:rPr>
          <w:rFonts w:ascii="Arial" w:hAnsi="Arial" w:cs="Arial"/>
          <w:sz w:val="20"/>
          <w:szCs w:val="20"/>
          <w:lang w:val="en-US"/>
        </w:rPr>
        <w:t>2160 g e. a. ha</w:t>
      </w:r>
      <w:r w:rsidR="00BE6918" w:rsidRPr="00BE6918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Pr="00DC2197">
        <w:rPr>
          <w:rFonts w:ascii="Arial" w:hAnsi="Arial" w:cs="Arial"/>
          <w:sz w:val="20"/>
          <w:szCs w:val="20"/>
          <w:lang w:val="en-US"/>
        </w:rPr>
        <w:t>), glyphosate + fluazifop-p-butyl (</w:t>
      </w:r>
      <w:r w:rsidR="00BE6918" w:rsidRPr="00BE6918">
        <w:rPr>
          <w:rFonts w:ascii="Arial" w:hAnsi="Arial" w:cs="Arial"/>
          <w:sz w:val="20"/>
          <w:szCs w:val="20"/>
          <w:lang w:val="en-US"/>
        </w:rPr>
        <w:t>720 g e. a. ha</w:t>
      </w:r>
      <w:r w:rsidR="00BE6918" w:rsidRPr="00BE6918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BE6918" w:rsidRPr="00BE6918">
        <w:rPr>
          <w:rFonts w:ascii="Arial" w:hAnsi="Arial" w:cs="Arial"/>
          <w:sz w:val="20"/>
          <w:szCs w:val="20"/>
          <w:lang w:val="en-US"/>
        </w:rPr>
        <w:t xml:space="preserve"> + 200 g ha</w:t>
      </w:r>
      <w:r w:rsidRPr="00DC2197">
        <w:rPr>
          <w:rFonts w:ascii="Arial" w:hAnsi="Arial" w:cs="Arial"/>
          <w:sz w:val="20"/>
          <w:szCs w:val="20"/>
          <w:lang w:val="en-US"/>
        </w:rPr>
        <w:t>) a</w:t>
      </w:r>
      <w:r w:rsidR="00BE6918">
        <w:rPr>
          <w:rFonts w:ascii="Arial" w:hAnsi="Arial" w:cs="Arial"/>
          <w:sz w:val="20"/>
          <w:szCs w:val="20"/>
          <w:lang w:val="en-US"/>
        </w:rPr>
        <w:t>nd glyphosate + clethodim (</w:t>
      </w:r>
      <w:r w:rsidR="00BE6918" w:rsidRPr="00BE6918">
        <w:rPr>
          <w:rFonts w:ascii="Arial" w:hAnsi="Arial" w:cs="Arial"/>
          <w:sz w:val="20"/>
          <w:szCs w:val="20"/>
          <w:lang w:val="en-US"/>
        </w:rPr>
        <w:t>720 g e. a. ha</w:t>
      </w:r>
      <w:r w:rsidR="00BE6918" w:rsidRPr="00BE6918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BE6918" w:rsidRPr="00BE6918">
        <w:rPr>
          <w:rFonts w:ascii="Arial" w:hAnsi="Arial" w:cs="Arial"/>
          <w:sz w:val="20"/>
          <w:szCs w:val="20"/>
          <w:lang w:val="en-US"/>
        </w:rPr>
        <w:t xml:space="preserve"> + 72 g ha</w:t>
      </w:r>
      <w:r w:rsidR="00BE6918" w:rsidRPr="00BE6918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Pr="00DC2197">
        <w:rPr>
          <w:rFonts w:ascii="Arial" w:hAnsi="Arial" w:cs="Arial"/>
          <w:sz w:val="20"/>
          <w:szCs w:val="20"/>
          <w:lang w:val="en-US"/>
        </w:rPr>
        <w:t>)</w:t>
      </w:r>
      <w:r w:rsidR="00BE6918">
        <w:rPr>
          <w:rFonts w:ascii="Arial" w:hAnsi="Arial" w:cs="Arial"/>
          <w:sz w:val="20"/>
          <w:szCs w:val="20"/>
          <w:lang w:val="en-US"/>
        </w:rPr>
        <w:t xml:space="preserve"> treatments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provided control levels greater or equal t</w:t>
      </w:r>
      <w:r w:rsidR="00572CED">
        <w:rPr>
          <w:rFonts w:ascii="Arial" w:hAnsi="Arial" w:cs="Arial"/>
          <w:sz w:val="20"/>
          <w:szCs w:val="20"/>
          <w:lang w:val="en-US"/>
        </w:rPr>
        <w:t>o 93%. It was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observed that the combination of he</w:t>
      </w:r>
      <w:r w:rsidR="00BE6918">
        <w:rPr>
          <w:rFonts w:ascii="Arial" w:hAnsi="Arial" w:cs="Arial"/>
          <w:sz w:val="20"/>
          <w:szCs w:val="20"/>
          <w:lang w:val="en-US"/>
        </w:rPr>
        <w:t>rbicide molecules and the increase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of glyphosate</w:t>
      </w:r>
      <w:r w:rsidR="00BE6918">
        <w:rPr>
          <w:rFonts w:ascii="Arial" w:hAnsi="Arial" w:cs="Arial"/>
          <w:sz w:val="20"/>
          <w:szCs w:val="20"/>
          <w:lang w:val="en-US"/>
        </w:rPr>
        <w:t xml:space="preserve"> doses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were favorable to</w:t>
      </w:r>
      <w:r w:rsidR="00BE6918">
        <w:rPr>
          <w:rFonts w:ascii="Arial" w:hAnsi="Arial" w:cs="Arial"/>
          <w:sz w:val="20"/>
          <w:szCs w:val="20"/>
          <w:lang w:val="en-US"/>
        </w:rPr>
        <w:t xml:space="preserve"> ryegrass control, as obser</w:t>
      </w:r>
      <w:r w:rsidR="00572CED">
        <w:rPr>
          <w:rFonts w:ascii="Arial" w:hAnsi="Arial" w:cs="Arial"/>
          <w:sz w:val="20"/>
          <w:szCs w:val="20"/>
          <w:lang w:val="en-US"/>
        </w:rPr>
        <w:t>ved by MELO et al. (2012), wh</w:t>
      </w:r>
      <w:r w:rsidR="00FA6410">
        <w:rPr>
          <w:rFonts w:ascii="Arial" w:hAnsi="Arial" w:cs="Arial"/>
          <w:sz w:val="20"/>
          <w:szCs w:val="20"/>
          <w:lang w:val="en-US"/>
        </w:rPr>
        <w:t>ich</w:t>
      </w:r>
      <w:r w:rsidR="00CA3456">
        <w:rPr>
          <w:rFonts w:ascii="Arial" w:hAnsi="Arial" w:cs="Arial"/>
          <w:sz w:val="20"/>
          <w:szCs w:val="20"/>
          <w:lang w:val="en-US"/>
        </w:rPr>
        <w:t xml:space="preserve"> 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evaluating the effectiveness of alternative herbicides to control </w:t>
      </w:r>
      <w:r w:rsidRPr="00BE6918">
        <w:rPr>
          <w:rFonts w:ascii="Arial" w:hAnsi="Arial" w:cs="Arial"/>
          <w:i/>
          <w:sz w:val="20"/>
          <w:szCs w:val="20"/>
          <w:lang w:val="en-US"/>
        </w:rPr>
        <w:t>Digitaria</w:t>
      </w:r>
      <w:r w:rsidR="00CA3456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BE6918">
        <w:rPr>
          <w:rFonts w:ascii="Arial" w:hAnsi="Arial" w:cs="Arial"/>
          <w:i/>
          <w:sz w:val="20"/>
          <w:szCs w:val="20"/>
          <w:lang w:val="en-US"/>
        </w:rPr>
        <w:t>insularis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in glyphosate-resistant biotypes of citrus crop</w:t>
      </w:r>
      <w:r w:rsidR="00572CED">
        <w:rPr>
          <w:rFonts w:ascii="Arial" w:hAnsi="Arial" w:cs="Arial"/>
          <w:sz w:val="20"/>
          <w:szCs w:val="20"/>
          <w:lang w:val="en-US"/>
        </w:rPr>
        <w:t>,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obtained in herbicidal associations</w:t>
      </w:r>
      <w:r w:rsidR="00FA6410">
        <w:rPr>
          <w:rFonts w:ascii="Arial" w:hAnsi="Arial" w:cs="Arial"/>
          <w:sz w:val="20"/>
          <w:szCs w:val="20"/>
          <w:lang w:val="en-US"/>
        </w:rPr>
        <w:t xml:space="preserve"> the best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controls, and paraqu</w:t>
      </w:r>
      <w:r w:rsidR="00FA6410">
        <w:rPr>
          <w:rFonts w:ascii="Arial" w:hAnsi="Arial" w:cs="Arial"/>
          <w:sz w:val="20"/>
          <w:szCs w:val="20"/>
          <w:lang w:val="en-US"/>
        </w:rPr>
        <w:t>at + diuron, and glufosinate were</w:t>
      </w:r>
      <w:r w:rsidR="00CA3456">
        <w:rPr>
          <w:rFonts w:ascii="Arial" w:hAnsi="Arial" w:cs="Arial"/>
          <w:sz w:val="20"/>
          <w:szCs w:val="20"/>
          <w:lang w:val="en-US"/>
        </w:rPr>
        <w:t xml:space="preserve"> </w:t>
      </w:r>
      <w:r w:rsidR="00FA6410">
        <w:rPr>
          <w:rFonts w:ascii="Arial" w:hAnsi="Arial" w:cs="Arial"/>
          <w:sz w:val="20"/>
          <w:szCs w:val="20"/>
          <w:lang w:val="en-US"/>
        </w:rPr>
        <w:t xml:space="preserve">sequential handling 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important alternatives </w:t>
      </w:r>
      <w:r w:rsidR="00FA6410">
        <w:rPr>
          <w:rFonts w:ascii="Arial" w:hAnsi="Arial" w:cs="Arial"/>
          <w:sz w:val="20"/>
          <w:szCs w:val="20"/>
          <w:lang w:val="en-US"/>
        </w:rPr>
        <w:t>in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glyphosate </w:t>
      </w:r>
      <w:r w:rsidR="00FA6410">
        <w:rPr>
          <w:rFonts w:ascii="Arial" w:hAnsi="Arial" w:cs="Arial"/>
          <w:sz w:val="20"/>
          <w:szCs w:val="20"/>
          <w:lang w:val="en-US"/>
        </w:rPr>
        <w:t>(</w:t>
      </w:r>
      <w:r w:rsidR="00FA6410" w:rsidRPr="00FA6410">
        <w:rPr>
          <w:rFonts w:ascii="Arial" w:hAnsi="Arial" w:cs="Arial"/>
          <w:sz w:val="20"/>
          <w:szCs w:val="20"/>
          <w:lang w:val="en-US"/>
        </w:rPr>
        <w:t>1440 g e.a. ha</w:t>
      </w:r>
      <w:r w:rsidR="00FA6410" w:rsidRPr="00FA6410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) + </w:t>
      </w:r>
      <w:r w:rsidR="00FA6410">
        <w:rPr>
          <w:rFonts w:ascii="Arial" w:hAnsi="Arial" w:cs="Arial"/>
          <w:sz w:val="20"/>
          <w:szCs w:val="20"/>
          <w:lang w:val="en-US"/>
        </w:rPr>
        <w:t>clethodim (</w:t>
      </w:r>
      <w:r w:rsidR="00FA6410" w:rsidRPr="00FA6410">
        <w:rPr>
          <w:rFonts w:ascii="Arial" w:hAnsi="Arial" w:cs="Arial"/>
          <w:sz w:val="20"/>
          <w:szCs w:val="20"/>
          <w:lang w:val="en-US"/>
        </w:rPr>
        <w:t>108 g ha</w:t>
      </w:r>
      <w:r w:rsidR="00FA6410" w:rsidRPr="00FA6410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FA6410">
        <w:rPr>
          <w:rFonts w:ascii="Arial" w:hAnsi="Arial" w:cs="Arial"/>
          <w:sz w:val="20"/>
          <w:szCs w:val="20"/>
          <w:lang w:val="en-US"/>
        </w:rPr>
        <w:t>) treatment</w:t>
      </w:r>
      <w:r w:rsidRPr="00DC2197">
        <w:rPr>
          <w:rFonts w:ascii="Arial" w:hAnsi="Arial" w:cs="Arial"/>
          <w:sz w:val="20"/>
          <w:szCs w:val="20"/>
          <w:lang w:val="en-US"/>
        </w:rPr>
        <w:t>.</w:t>
      </w:r>
    </w:p>
    <w:p w:rsidR="00C13896" w:rsidRPr="00DC2197" w:rsidRDefault="00201B12" w:rsidP="00C13896">
      <w:pPr>
        <w:spacing w:line="480" w:lineRule="auto"/>
        <w:ind w:firstLine="708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</w:t>
      </w:r>
      <w:r w:rsidR="00DC2197" w:rsidRPr="00DC2197">
        <w:rPr>
          <w:rFonts w:ascii="Arial" w:hAnsi="Arial" w:cs="Arial"/>
          <w:sz w:val="20"/>
          <w:szCs w:val="20"/>
          <w:lang w:val="en-US"/>
        </w:rPr>
        <w:t>igh paraquat</w:t>
      </w:r>
      <w:r w:rsidR="00CA3456">
        <w:rPr>
          <w:rFonts w:ascii="Arial" w:hAnsi="Arial" w:cs="Arial"/>
          <w:sz w:val="20"/>
          <w:szCs w:val="20"/>
          <w:lang w:val="en-US"/>
        </w:rPr>
        <w:t xml:space="preserve"> </w:t>
      </w:r>
      <w:r w:rsidR="00271DB4">
        <w:rPr>
          <w:rFonts w:ascii="Arial" w:hAnsi="Arial" w:cs="Arial"/>
          <w:sz w:val="20"/>
          <w:szCs w:val="20"/>
          <w:lang w:val="en-US"/>
        </w:rPr>
        <w:t xml:space="preserve">control </w:t>
      </w:r>
      <w:r w:rsidR="00DC2197" w:rsidRPr="00DC2197">
        <w:rPr>
          <w:rFonts w:ascii="Arial" w:hAnsi="Arial" w:cs="Arial"/>
          <w:sz w:val="20"/>
          <w:szCs w:val="20"/>
          <w:lang w:val="en-US"/>
        </w:rPr>
        <w:t>can be observed at 7 DAT</w:t>
      </w:r>
      <w:r w:rsidR="00271DB4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when it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was the best treatment</w:t>
      </w:r>
      <w:r w:rsidR="00271DB4">
        <w:rPr>
          <w:rFonts w:ascii="Arial" w:hAnsi="Arial" w:cs="Arial"/>
          <w:sz w:val="20"/>
          <w:szCs w:val="20"/>
          <w:lang w:val="en-US"/>
        </w:rPr>
        <w:t>,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with 89% control level, where other control treatments showed </w:t>
      </w:r>
      <w:r w:rsidR="00271DB4">
        <w:rPr>
          <w:rFonts w:ascii="Arial" w:hAnsi="Arial" w:cs="Arial"/>
          <w:sz w:val="20"/>
          <w:szCs w:val="20"/>
          <w:lang w:val="en-US"/>
        </w:rPr>
        <w:t xml:space="preserve">less than 60% (Table 2). At </w:t>
      </w:r>
      <w:r w:rsidR="00DC2197" w:rsidRPr="00DC2197">
        <w:rPr>
          <w:rFonts w:ascii="Arial" w:hAnsi="Arial" w:cs="Arial"/>
          <w:sz w:val="20"/>
          <w:szCs w:val="20"/>
          <w:lang w:val="en-US"/>
        </w:rPr>
        <w:t>14 DAT</w:t>
      </w:r>
      <w:r w:rsidR="00271DB4">
        <w:rPr>
          <w:rFonts w:ascii="Arial" w:hAnsi="Arial" w:cs="Arial"/>
          <w:sz w:val="20"/>
          <w:szCs w:val="20"/>
          <w:lang w:val="en-US"/>
        </w:rPr>
        <w:t>, paraguat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remained among the herbicides that of</w:t>
      </w:r>
      <w:r w:rsidR="00271DB4">
        <w:rPr>
          <w:rFonts w:ascii="Arial" w:hAnsi="Arial" w:cs="Arial"/>
          <w:sz w:val="20"/>
          <w:szCs w:val="20"/>
          <w:lang w:val="en-US"/>
        </w:rPr>
        <w:t>fered better control. H</w:t>
      </w:r>
      <w:r w:rsidR="00DC2197" w:rsidRPr="00DC2197">
        <w:rPr>
          <w:rFonts w:ascii="Arial" w:hAnsi="Arial" w:cs="Arial"/>
          <w:sz w:val="20"/>
          <w:szCs w:val="20"/>
          <w:lang w:val="en-US"/>
        </w:rPr>
        <w:t>owever, even keeping control level ab</w:t>
      </w:r>
      <w:r w:rsidR="00271DB4">
        <w:rPr>
          <w:rFonts w:ascii="Arial" w:hAnsi="Arial" w:cs="Arial"/>
          <w:sz w:val="20"/>
          <w:szCs w:val="20"/>
          <w:lang w:val="en-US"/>
        </w:rPr>
        <w:t>ove 80% in the following evaluations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, </w:t>
      </w:r>
      <w:r w:rsidR="00271DB4">
        <w:rPr>
          <w:rFonts w:ascii="Arial" w:hAnsi="Arial" w:cs="Arial"/>
          <w:sz w:val="20"/>
          <w:szCs w:val="20"/>
          <w:lang w:val="en-US"/>
        </w:rPr>
        <w:t xml:space="preserve">other </w:t>
      </w:r>
      <w:r w:rsidR="00DC2197" w:rsidRPr="00DC2197">
        <w:rPr>
          <w:rFonts w:ascii="Arial" w:hAnsi="Arial" w:cs="Arial"/>
          <w:sz w:val="20"/>
          <w:szCs w:val="20"/>
          <w:lang w:val="en-US"/>
        </w:rPr>
        <w:t>herbicides or associations were superior. In each evaluation, it can be observed that among herbicides with low</w:t>
      </w:r>
      <w:r w:rsidR="00271DB4">
        <w:rPr>
          <w:rFonts w:ascii="Arial" w:hAnsi="Arial" w:cs="Arial"/>
          <w:sz w:val="20"/>
          <w:szCs w:val="20"/>
          <w:lang w:val="en-US"/>
        </w:rPr>
        <w:t xml:space="preserve"> plant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mobility (contact herbicides), paraquat (</w:t>
      </w:r>
      <w:r w:rsidR="00271DB4" w:rsidRPr="00271DB4">
        <w:rPr>
          <w:rFonts w:ascii="Arial" w:hAnsi="Arial" w:cs="Arial"/>
          <w:sz w:val="20"/>
          <w:szCs w:val="20"/>
          <w:lang w:val="en-US"/>
        </w:rPr>
        <w:t>500 g ha</w:t>
      </w:r>
      <w:r w:rsidR="00271DB4" w:rsidRPr="00271DB4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DC2197" w:rsidRPr="00DC2197">
        <w:rPr>
          <w:rFonts w:ascii="Arial" w:hAnsi="Arial" w:cs="Arial"/>
          <w:sz w:val="20"/>
          <w:szCs w:val="20"/>
          <w:lang w:val="en-US"/>
        </w:rPr>
        <w:t>) was in the group of the best treatments</w:t>
      </w:r>
      <w:r w:rsidR="00271DB4">
        <w:rPr>
          <w:rFonts w:ascii="Arial" w:hAnsi="Arial" w:cs="Arial"/>
          <w:sz w:val="20"/>
          <w:szCs w:val="20"/>
          <w:lang w:val="en-US"/>
        </w:rPr>
        <w:t xml:space="preserve"> in all evaluations</w:t>
      </w:r>
      <w:r w:rsidR="00DC2197" w:rsidRPr="00DC2197">
        <w:rPr>
          <w:rFonts w:ascii="Arial" w:hAnsi="Arial" w:cs="Arial"/>
          <w:sz w:val="20"/>
          <w:szCs w:val="20"/>
          <w:lang w:val="en-US"/>
        </w:rPr>
        <w:t>, with a final control at 42 DAT</w:t>
      </w:r>
      <w:r w:rsidR="00271DB4">
        <w:rPr>
          <w:rFonts w:ascii="Arial" w:hAnsi="Arial" w:cs="Arial"/>
          <w:sz w:val="20"/>
          <w:szCs w:val="20"/>
          <w:lang w:val="en-US"/>
        </w:rPr>
        <w:t xml:space="preserve"> of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87%</w:t>
      </w:r>
      <w:r w:rsidR="00271DB4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which is</w:t>
      </w:r>
      <w:r w:rsidR="00271DB4">
        <w:rPr>
          <w:rFonts w:ascii="Arial" w:hAnsi="Arial" w:cs="Arial"/>
          <w:sz w:val="20"/>
          <w:szCs w:val="20"/>
          <w:lang w:val="en-US"/>
        </w:rPr>
        <w:t xml:space="preserve"> statistically equal to some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of the </w:t>
      </w:r>
      <w:r w:rsidR="00271DB4">
        <w:rPr>
          <w:rFonts w:ascii="Arial" w:hAnsi="Arial" w:cs="Arial"/>
          <w:sz w:val="20"/>
          <w:szCs w:val="20"/>
          <w:lang w:val="en-US"/>
        </w:rPr>
        <w:t xml:space="preserve">treatments with </w:t>
      </w:r>
      <w:r w:rsidR="00DC2197" w:rsidRPr="00DC2197">
        <w:rPr>
          <w:rFonts w:ascii="Arial" w:hAnsi="Arial" w:cs="Arial"/>
          <w:sz w:val="20"/>
          <w:szCs w:val="20"/>
          <w:lang w:val="en-US"/>
        </w:rPr>
        <w:t>herbicide association.</w:t>
      </w:r>
    </w:p>
    <w:p w:rsidR="00C13896" w:rsidRPr="00DC2197" w:rsidRDefault="00F84166" w:rsidP="00C13896">
      <w:pPr>
        <w:spacing w:line="480" w:lineRule="auto"/>
        <w:ind w:firstLine="708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Another</w:t>
      </w:r>
      <w:r w:rsidR="00403C59">
        <w:rPr>
          <w:rFonts w:ascii="Arial" w:hAnsi="Arial" w:cs="Arial"/>
          <w:sz w:val="20"/>
          <w:szCs w:val="20"/>
          <w:lang w:val="en-US"/>
        </w:rPr>
        <w:t xml:space="preserve"> herbicide with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low </w:t>
      </w:r>
      <w:r w:rsidR="00403C59">
        <w:rPr>
          <w:rFonts w:ascii="Arial" w:hAnsi="Arial" w:cs="Arial"/>
          <w:sz w:val="20"/>
          <w:szCs w:val="20"/>
          <w:lang w:val="en-US"/>
        </w:rPr>
        <w:t>plant mobility used</w:t>
      </w:r>
      <w:r w:rsidR="00DC2197" w:rsidRPr="00DC2197">
        <w:rPr>
          <w:rFonts w:ascii="Arial" w:hAnsi="Arial" w:cs="Arial"/>
          <w:sz w:val="20"/>
          <w:szCs w:val="20"/>
          <w:lang w:val="en-US"/>
        </w:rPr>
        <w:t>, glufosinat</w:t>
      </w:r>
      <w:r w:rsidR="00403C59">
        <w:rPr>
          <w:rFonts w:ascii="Arial" w:hAnsi="Arial" w:cs="Arial"/>
          <w:sz w:val="20"/>
          <w:szCs w:val="20"/>
          <w:lang w:val="en-US"/>
        </w:rPr>
        <w:t>e (</w:t>
      </w:r>
      <w:r w:rsidR="00403C59" w:rsidRPr="00403C59">
        <w:rPr>
          <w:rFonts w:ascii="Arial" w:hAnsi="Arial" w:cs="Arial"/>
          <w:sz w:val="20"/>
          <w:szCs w:val="20"/>
          <w:lang w:val="en-US"/>
        </w:rPr>
        <w:t>500 g ha</w:t>
      </w:r>
      <w:r w:rsidR="00403C59" w:rsidRPr="00403C59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403C59">
        <w:rPr>
          <w:rFonts w:ascii="Arial" w:hAnsi="Arial" w:cs="Arial"/>
          <w:sz w:val="20"/>
          <w:szCs w:val="20"/>
          <w:lang w:val="en-US"/>
        </w:rPr>
        <w:t xml:space="preserve">), presented a generally low </w:t>
      </w:r>
      <w:r w:rsidR="00DC2197" w:rsidRPr="00DC2197">
        <w:rPr>
          <w:rFonts w:ascii="Arial" w:hAnsi="Arial" w:cs="Arial"/>
          <w:sz w:val="20"/>
          <w:szCs w:val="20"/>
          <w:lang w:val="en-US"/>
        </w:rPr>
        <w:t>control e</w:t>
      </w:r>
      <w:r>
        <w:rPr>
          <w:rFonts w:ascii="Arial" w:hAnsi="Arial" w:cs="Arial"/>
          <w:sz w:val="20"/>
          <w:szCs w:val="20"/>
          <w:lang w:val="en-US"/>
        </w:rPr>
        <w:t>fficiency, even</w:t>
      </w:r>
      <w:r w:rsidR="00DC2197" w:rsidRPr="00DC2197">
        <w:rPr>
          <w:rFonts w:ascii="Arial" w:hAnsi="Arial" w:cs="Arial"/>
          <w:sz w:val="20"/>
          <w:szCs w:val="20"/>
          <w:lang w:val="en-US"/>
        </w:rPr>
        <w:t>among the best treatments</w:t>
      </w:r>
      <w:r w:rsidR="00A66712">
        <w:rPr>
          <w:rFonts w:ascii="Arial" w:hAnsi="Arial" w:cs="Arial"/>
          <w:sz w:val="20"/>
          <w:szCs w:val="20"/>
          <w:lang w:val="en-US"/>
        </w:rPr>
        <w:t xml:space="preserve"> at 7 and 14 DAT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, although </w:t>
      </w:r>
      <w:r w:rsidR="00A66712">
        <w:rPr>
          <w:rFonts w:ascii="Arial" w:hAnsi="Arial" w:cs="Arial"/>
          <w:sz w:val="20"/>
          <w:szCs w:val="20"/>
          <w:lang w:val="en-US"/>
        </w:rPr>
        <w:t>values were lower than what was expected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. This low overall performance can be explained by </w:t>
      </w:r>
      <w:r>
        <w:rPr>
          <w:rFonts w:ascii="Arial" w:hAnsi="Arial" w:cs="Arial"/>
          <w:sz w:val="20"/>
          <w:szCs w:val="20"/>
          <w:lang w:val="en-US"/>
        </w:rPr>
        <w:t>its climate requirement, as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according</w:t>
      </w:r>
      <w:r w:rsidR="009E29BF">
        <w:rPr>
          <w:rFonts w:ascii="Arial" w:hAnsi="Arial" w:cs="Arial"/>
          <w:sz w:val="20"/>
          <w:szCs w:val="20"/>
          <w:lang w:val="en-US"/>
        </w:rPr>
        <w:t xml:space="preserve"> to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MARCHI</w:t>
      </w:r>
      <w:r w:rsidR="009E29BF">
        <w:rPr>
          <w:rFonts w:ascii="Arial" w:hAnsi="Arial" w:cs="Arial"/>
          <w:sz w:val="20"/>
          <w:szCs w:val="20"/>
          <w:lang w:val="en-US"/>
        </w:rPr>
        <w:t xml:space="preserve"> et al. (2008), this herbicide presents</w:t>
      </w:r>
      <w:r w:rsidR="00CA3456">
        <w:rPr>
          <w:rFonts w:ascii="Arial" w:hAnsi="Arial" w:cs="Arial"/>
          <w:sz w:val="20"/>
          <w:szCs w:val="20"/>
          <w:lang w:val="en-US"/>
        </w:rPr>
        <w:t xml:space="preserve"> </w:t>
      </w:r>
      <w:r w:rsidR="009E29BF">
        <w:rPr>
          <w:rFonts w:ascii="Arial" w:hAnsi="Arial" w:cs="Arial"/>
          <w:sz w:val="20"/>
          <w:szCs w:val="20"/>
          <w:lang w:val="en-US"/>
        </w:rPr>
        <w:t>symptoms at a reduced rate if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soon after application the weather is </w:t>
      </w:r>
      <w:r w:rsidR="009E29BF">
        <w:rPr>
          <w:rFonts w:ascii="Arial" w:hAnsi="Arial" w:cs="Arial"/>
          <w:sz w:val="20"/>
          <w:szCs w:val="20"/>
          <w:lang w:val="en-US"/>
        </w:rPr>
        <w:t xml:space="preserve">not </w:t>
      </w:r>
      <w:r w:rsidR="00DC2197" w:rsidRPr="00DC2197">
        <w:rPr>
          <w:rFonts w:ascii="Arial" w:hAnsi="Arial" w:cs="Arial"/>
          <w:sz w:val="20"/>
          <w:szCs w:val="20"/>
          <w:lang w:val="en-US"/>
        </w:rPr>
        <w:t>sunny, so</w:t>
      </w:r>
      <w:r>
        <w:rPr>
          <w:rFonts w:ascii="Arial" w:hAnsi="Arial" w:cs="Arial"/>
          <w:sz w:val="20"/>
          <w:szCs w:val="20"/>
          <w:lang w:val="en-US"/>
        </w:rPr>
        <w:t xml:space="preserve"> that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light is involved in some way in the </w:t>
      </w:r>
      <w:r w:rsidR="009E29BF">
        <w:rPr>
          <w:rFonts w:ascii="Arial" w:hAnsi="Arial" w:cs="Arial"/>
          <w:sz w:val="20"/>
          <w:szCs w:val="20"/>
          <w:lang w:val="en-US"/>
        </w:rPr>
        <w:t xml:space="preserve">activity expression of 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this herbicide. What can be observed is that </w:t>
      </w:r>
      <w:r w:rsidR="00F46272">
        <w:rPr>
          <w:rFonts w:ascii="Arial" w:hAnsi="Arial" w:cs="Arial"/>
          <w:sz w:val="20"/>
          <w:szCs w:val="20"/>
          <w:lang w:val="en-US"/>
        </w:rPr>
        <w:t xml:space="preserve">the weather was cloudy </w:t>
      </w:r>
      <w:r w:rsidR="00DC2197" w:rsidRPr="00DC2197">
        <w:rPr>
          <w:rFonts w:ascii="Arial" w:hAnsi="Arial" w:cs="Arial"/>
          <w:sz w:val="20"/>
          <w:szCs w:val="20"/>
          <w:lang w:val="en-US"/>
        </w:rPr>
        <w:t>after treatment application</w:t>
      </w:r>
      <w:r w:rsidR="00F46272">
        <w:rPr>
          <w:rFonts w:ascii="Arial" w:hAnsi="Arial" w:cs="Arial"/>
          <w:sz w:val="20"/>
          <w:szCs w:val="20"/>
          <w:lang w:val="en-US"/>
        </w:rPr>
        <w:t>, and it may have harmed</w:t>
      </w:r>
      <w:r w:rsidR="00DC2197" w:rsidRPr="00DC2197">
        <w:rPr>
          <w:rFonts w:ascii="Arial" w:hAnsi="Arial" w:cs="Arial"/>
          <w:sz w:val="20"/>
          <w:szCs w:val="20"/>
          <w:lang w:val="en-US"/>
        </w:rPr>
        <w:t xml:space="preserve"> the action of this herbicide.</w:t>
      </w:r>
    </w:p>
    <w:p w:rsidR="00C13896" w:rsidRPr="00DC2197" w:rsidRDefault="00C13896" w:rsidP="00C13896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</w:p>
    <w:p w:rsidR="00BC28E8" w:rsidRPr="00DC2197" w:rsidRDefault="00DC2197" w:rsidP="00C1389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C2197">
        <w:rPr>
          <w:rFonts w:ascii="Arial" w:hAnsi="Arial" w:cs="Arial"/>
          <w:b/>
          <w:sz w:val="20"/>
          <w:szCs w:val="20"/>
          <w:lang w:val="en-US"/>
        </w:rPr>
        <w:t>Table</w:t>
      </w:r>
      <w:r w:rsidR="00314CE7" w:rsidRPr="00DC2197">
        <w:rPr>
          <w:rFonts w:ascii="Arial" w:hAnsi="Arial" w:cs="Arial"/>
          <w:b/>
          <w:sz w:val="20"/>
          <w:szCs w:val="20"/>
          <w:lang w:val="en-US"/>
        </w:rPr>
        <w:t xml:space="preserve"> 2</w:t>
      </w:r>
      <w:r w:rsidR="00C13896" w:rsidRPr="00DC2197">
        <w:rPr>
          <w:rFonts w:ascii="Arial" w:hAnsi="Arial" w:cs="Arial"/>
          <w:b/>
          <w:sz w:val="20"/>
          <w:szCs w:val="20"/>
          <w:lang w:val="en-US"/>
        </w:rPr>
        <w:t>.</w:t>
      </w:r>
      <w:r w:rsidR="009B1EB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C28E8" w:rsidRPr="00DC2197">
        <w:rPr>
          <w:rFonts w:ascii="Arial" w:hAnsi="Arial" w:cs="Arial"/>
          <w:sz w:val="20"/>
          <w:szCs w:val="20"/>
          <w:lang w:val="en-US"/>
        </w:rPr>
        <w:t>Efficiency of ryegrass control (</w:t>
      </w:r>
      <w:r w:rsidR="00BC28E8" w:rsidRPr="00D34F31">
        <w:rPr>
          <w:rFonts w:ascii="Arial" w:hAnsi="Arial" w:cs="Arial"/>
          <w:i/>
          <w:sz w:val="20"/>
          <w:szCs w:val="20"/>
          <w:lang w:val="en-US"/>
        </w:rPr>
        <w:t>Lolium</w:t>
      </w:r>
      <w:r w:rsidR="00FB483C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BC28E8" w:rsidRPr="00D34F31">
        <w:rPr>
          <w:rFonts w:ascii="Arial" w:hAnsi="Arial" w:cs="Arial"/>
          <w:i/>
          <w:sz w:val="20"/>
          <w:szCs w:val="20"/>
          <w:lang w:val="en-US"/>
        </w:rPr>
        <w:t>multiflorum</w:t>
      </w:r>
      <w:r w:rsidR="00BC28E8" w:rsidRPr="00DC2197">
        <w:rPr>
          <w:rFonts w:ascii="Arial" w:hAnsi="Arial" w:cs="Arial"/>
          <w:sz w:val="20"/>
          <w:szCs w:val="20"/>
          <w:lang w:val="en-US"/>
        </w:rPr>
        <w:t>) at 7, 14, 21, 28 and 42 days after treatments applications (DAT). UNICRUZ, Cruz Alta, 2010.</w:t>
      </w:r>
    </w:p>
    <w:tbl>
      <w:tblPr>
        <w:tblpPr w:leftFromText="141" w:rightFromText="141" w:vertAnchor="text" w:horzAnchor="margin" w:tblpXSpec="center" w:tblpY="58"/>
        <w:tblW w:w="96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9"/>
        <w:gridCol w:w="1107"/>
        <w:gridCol w:w="626"/>
        <w:gridCol w:w="493"/>
        <w:gridCol w:w="706"/>
        <w:gridCol w:w="565"/>
        <w:gridCol w:w="705"/>
        <w:gridCol w:w="565"/>
        <w:gridCol w:w="565"/>
        <w:gridCol w:w="565"/>
        <w:gridCol w:w="706"/>
        <w:gridCol w:w="437"/>
      </w:tblGrid>
      <w:tr w:rsidR="00C13896" w:rsidRPr="00497B04" w:rsidTr="00FC505E">
        <w:trPr>
          <w:trHeight w:val="195"/>
        </w:trPr>
        <w:tc>
          <w:tcPr>
            <w:tcW w:w="2599" w:type="dxa"/>
            <w:vMerge w:val="restart"/>
            <w:tcBorders>
              <w:top w:val="single" w:sz="8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DC2197" w:rsidP="00A34E4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Treatment</w:t>
            </w:r>
            <w:r w:rsidR="00C13896"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s </w:t>
            </w:r>
            <w:r w:rsidR="00C13896"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1, 2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FC50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Dose</w:t>
            </w:r>
          </w:p>
          <w:p w:rsidR="00C13896" w:rsidRPr="00497B04" w:rsidRDefault="00C13896" w:rsidP="00FC50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(g ha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-1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933" w:type="dxa"/>
            <w:gridSpan w:val="10"/>
            <w:tcBorders>
              <w:top w:val="single" w:sz="8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896" w:rsidRPr="00497B04" w:rsidRDefault="00D34F31" w:rsidP="00A34E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Control efficiency</w:t>
            </w:r>
            <w:r w:rsidR="00C13896"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 (%)</w:t>
            </w:r>
          </w:p>
        </w:tc>
      </w:tr>
      <w:tr w:rsidR="00C13896" w:rsidRPr="00497B04" w:rsidTr="00135A1C">
        <w:trPr>
          <w:trHeight w:val="300"/>
        </w:trPr>
        <w:tc>
          <w:tcPr>
            <w:tcW w:w="2599" w:type="dxa"/>
            <w:vMerge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7" w:type="dxa"/>
            <w:vMerge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9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13896" w:rsidRPr="00497B04" w:rsidRDefault="00C13896" w:rsidP="00A34E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 DAT</w:t>
            </w:r>
          </w:p>
        </w:tc>
        <w:tc>
          <w:tcPr>
            <w:tcW w:w="1271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13896" w:rsidRPr="00497B04" w:rsidRDefault="00C13896" w:rsidP="00A34E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14 DAT</w:t>
            </w:r>
          </w:p>
        </w:tc>
        <w:tc>
          <w:tcPr>
            <w:tcW w:w="1270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13896" w:rsidRPr="00497B04" w:rsidRDefault="00C13896" w:rsidP="00A34E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21 DAT</w:t>
            </w:r>
          </w:p>
        </w:tc>
        <w:tc>
          <w:tcPr>
            <w:tcW w:w="1130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13896" w:rsidRPr="00497B04" w:rsidRDefault="00C13896" w:rsidP="00A34E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28 DAT</w:t>
            </w:r>
          </w:p>
        </w:tc>
        <w:tc>
          <w:tcPr>
            <w:tcW w:w="1143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13896" w:rsidRPr="00497B04" w:rsidRDefault="00C13896" w:rsidP="00A34E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42 DAT</w:t>
            </w:r>
          </w:p>
        </w:tc>
      </w:tr>
      <w:tr w:rsidR="00C13896" w:rsidRPr="00497B04" w:rsidTr="00135A1C">
        <w:trPr>
          <w:trHeight w:val="276"/>
        </w:trPr>
        <w:tc>
          <w:tcPr>
            <w:tcW w:w="259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Glyphosate (Gly</w:t>
            </w:r>
            <w:r w:rsidR="00C13896" w:rsidRPr="00497B0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 720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497B04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58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</w:tr>
      <w:tr w:rsidR="00C13896" w:rsidRPr="00497B04" w:rsidTr="00135A1C">
        <w:trPr>
          <w:trHeight w:val="136"/>
        </w:trPr>
        <w:tc>
          <w:tcPr>
            <w:tcW w:w="25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Gyphosate</w:t>
            </w:r>
          </w:p>
        </w:tc>
        <w:tc>
          <w:tcPr>
            <w:tcW w:w="11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1440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79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87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C13896" w:rsidRPr="00497B04" w:rsidTr="00135A1C">
        <w:trPr>
          <w:trHeight w:val="295"/>
        </w:trPr>
        <w:tc>
          <w:tcPr>
            <w:tcW w:w="25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Glyphosate</w:t>
            </w:r>
          </w:p>
        </w:tc>
        <w:tc>
          <w:tcPr>
            <w:tcW w:w="11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2160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93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</w:tr>
      <w:tr w:rsidR="00C13896" w:rsidRPr="00497B04" w:rsidTr="00135A1C">
        <w:trPr>
          <w:trHeight w:val="173"/>
        </w:trPr>
        <w:tc>
          <w:tcPr>
            <w:tcW w:w="25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Fluazifop-p-butyl</w:t>
            </w:r>
          </w:p>
        </w:tc>
        <w:tc>
          <w:tcPr>
            <w:tcW w:w="11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</w:tr>
      <w:tr w:rsidR="00C13896" w:rsidRPr="00497B04" w:rsidTr="00135A1C">
        <w:trPr>
          <w:trHeight w:val="135"/>
        </w:trPr>
        <w:tc>
          <w:tcPr>
            <w:tcW w:w="25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Clet</w:t>
            </w:r>
            <w:r w:rsidR="006D5B49" w:rsidRPr="00497B04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odim</w:t>
            </w:r>
          </w:p>
        </w:tc>
        <w:tc>
          <w:tcPr>
            <w:tcW w:w="11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C13896" w:rsidRPr="00497B04" w:rsidTr="00135A1C">
        <w:trPr>
          <w:trHeight w:val="139"/>
        </w:trPr>
        <w:tc>
          <w:tcPr>
            <w:tcW w:w="25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Quizalofop-p-tefuril</w:t>
            </w:r>
          </w:p>
        </w:tc>
        <w:tc>
          <w:tcPr>
            <w:tcW w:w="11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f  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83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C13896" w:rsidRPr="00497B04" w:rsidTr="00135A1C">
        <w:trPr>
          <w:trHeight w:val="170"/>
        </w:trPr>
        <w:tc>
          <w:tcPr>
            <w:tcW w:w="25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Clodinafop</w:t>
            </w:r>
          </w:p>
        </w:tc>
        <w:tc>
          <w:tcPr>
            <w:tcW w:w="11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C13896" w:rsidRPr="00497B04" w:rsidTr="00135A1C">
        <w:trPr>
          <w:trHeight w:val="286"/>
        </w:trPr>
        <w:tc>
          <w:tcPr>
            <w:tcW w:w="25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 +Fluazifope-p-butyl</w:t>
            </w:r>
          </w:p>
        </w:tc>
        <w:tc>
          <w:tcPr>
            <w:tcW w:w="11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720 + 125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88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87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C13896" w:rsidRPr="00497B04" w:rsidTr="00135A1C">
        <w:trPr>
          <w:trHeight w:val="283"/>
        </w:trPr>
        <w:tc>
          <w:tcPr>
            <w:tcW w:w="25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 +Fluazifope-p-butyl</w:t>
            </w:r>
          </w:p>
        </w:tc>
        <w:tc>
          <w:tcPr>
            <w:tcW w:w="11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720 + 200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C13896" w:rsidRPr="00497B04" w:rsidTr="00135A1C">
        <w:trPr>
          <w:trHeight w:val="279"/>
        </w:trPr>
        <w:tc>
          <w:tcPr>
            <w:tcW w:w="25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 +Clodinafop</w:t>
            </w:r>
          </w:p>
        </w:tc>
        <w:tc>
          <w:tcPr>
            <w:tcW w:w="11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720 +   60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77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87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C13896" w:rsidRPr="00497B04" w:rsidTr="00135A1C">
        <w:trPr>
          <w:trHeight w:val="172"/>
        </w:trPr>
        <w:tc>
          <w:tcPr>
            <w:tcW w:w="25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 +Clodinafop</w:t>
            </w:r>
          </w:p>
        </w:tc>
        <w:tc>
          <w:tcPr>
            <w:tcW w:w="11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720 + 120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77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C13896" w:rsidRPr="00497B04" w:rsidTr="00135A1C">
        <w:trPr>
          <w:trHeight w:val="273"/>
        </w:trPr>
        <w:tc>
          <w:tcPr>
            <w:tcW w:w="25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 +Quizalofop-p-tefuril</w:t>
            </w:r>
          </w:p>
        </w:tc>
        <w:tc>
          <w:tcPr>
            <w:tcW w:w="11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720 +   96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77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93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</w:tr>
      <w:tr w:rsidR="00C13896" w:rsidRPr="00497B04" w:rsidTr="00135A1C">
        <w:trPr>
          <w:trHeight w:val="292"/>
        </w:trPr>
        <w:tc>
          <w:tcPr>
            <w:tcW w:w="25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Gly</w:t>
            </w:r>
            <w:r w:rsidR="00C13896"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 +Cletodim</w:t>
            </w:r>
          </w:p>
        </w:tc>
        <w:tc>
          <w:tcPr>
            <w:tcW w:w="110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720 +   72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87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93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</w:tr>
      <w:tr w:rsidR="00C13896" w:rsidRPr="00497B04" w:rsidTr="00135A1C">
        <w:trPr>
          <w:trHeight w:val="98"/>
        </w:trPr>
        <w:tc>
          <w:tcPr>
            <w:tcW w:w="25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Glufosinate</w:t>
            </w:r>
          </w:p>
        </w:tc>
        <w:tc>
          <w:tcPr>
            <w:tcW w:w="11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500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74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69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</w:tr>
      <w:tr w:rsidR="00C13896" w:rsidRPr="00497B04" w:rsidTr="00135A1C">
        <w:trPr>
          <w:trHeight w:val="286"/>
        </w:trPr>
        <w:tc>
          <w:tcPr>
            <w:tcW w:w="25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D5B49" w:rsidP="00A34E4F">
            <w:pPr>
              <w:tabs>
                <w:tab w:val="center" w:pos="171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Paraquat</w:t>
            </w:r>
          </w:p>
        </w:tc>
        <w:tc>
          <w:tcPr>
            <w:tcW w:w="11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500</w:t>
            </w:r>
          </w:p>
        </w:tc>
        <w:tc>
          <w:tcPr>
            <w:tcW w:w="62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4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83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70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79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56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F16BB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7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87</w:t>
            </w:r>
          </w:p>
        </w:tc>
        <w:tc>
          <w:tcPr>
            <w:tcW w:w="4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C13896" w:rsidP="00A34E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C13896" w:rsidRPr="00497B04" w:rsidTr="00135A1C">
        <w:trPr>
          <w:trHeight w:val="157"/>
        </w:trPr>
        <w:tc>
          <w:tcPr>
            <w:tcW w:w="370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34075A" w:rsidP="00A34E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Coefficient of variation</w:t>
            </w:r>
            <w:r w:rsidR="00C13896" w:rsidRPr="00497B04">
              <w:rPr>
                <w:rFonts w:ascii="Arial" w:hAnsi="Arial" w:cs="Arial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B12DC" w:rsidP="00A34E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  <w:r w:rsidR="00C13896" w:rsidRPr="00497B04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B12DC" w:rsidP="00A34E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  <w:r w:rsidR="00C13896" w:rsidRPr="00497B04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B12DC" w:rsidP="00A34E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  <w:r w:rsidR="00C13896" w:rsidRPr="00497B0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B12DC" w:rsidP="00A34E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  <w:r w:rsidR="00C13896" w:rsidRPr="00497B0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3896" w:rsidRPr="00497B04" w:rsidRDefault="006B12DC" w:rsidP="00A34E4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7B04"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  <w:r w:rsidR="00C13896" w:rsidRPr="00497B04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</w:tr>
    </w:tbl>
    <w:p w:rsidR="00C13896" w:rsidRPr="000501C7" w:rsidRDefault="00C13896" w:rsidP="00C13896">
      <w:pPr>
        <w:pStyle w:val="Corpodetexto"/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501C7">
        <w:rPr>
          <w:rFonts w:ascii="Arial" w:hAnsi="Arial" w:cs="Arial"/>
          <w:sz w:val="18"/>
          <w:szCs w:val="18"/>
          <w:vertAlign w:val="superscript"/>
          <w:lang w:val="en-US"/>
        </w:rPr>
        <w:t>1</w:t>
      </w:r>
      <w:r w:rsidR="00540CF5" w:rsidRPr="00540CF5">
        <w:rPr>
          <w:rFonts w:ascii="Arial" w:hAnsi="Arial" w:cs="Arial"/>
          <w:sz w:val="18"/>
          <w:szCs w:val="18"/>
          <w:lang w:val="en-US"/>
        </w:rPr>
        <w:t>To</w:t>
      </w:r>
      <w:r w:rsidR="00FB483C">
        <w:rPr>
          <w:rFonts w:ascii="Arial" w:hAnsi="Arial" w:cs="Arial"/>
          <w:sz w:val="18"/>
          <w:szCs w:val="18"/>
          <w:lang w:val="en-US"/>
        </w:rPr>
        <w:t xml:space="preserve"> </w:t>
      </w:r>
      <w:r w:rsidR="00540CF5" w:rsidRPr="000501C7">
        <w:rPr>
          <w:rFonts w:ascii="Arial" w:hAnsi="Arial" w:cs="Arial"/>
          <w:sz w:val="18"/>
          <w:szCs w:val="18"/>
          <w:lang w:val="en-US"/>
        </w:rPr>
        <w:t>herbicid</w:t>
      </w:r>
      <w:r w:rsidR="00540CF5" w:rsidRPr="00540CF5">
        <w:rPr>
          <w:rFonts w:ascii="Arial" w:hAnsi="Arial" w:cs="Arial"/>
          <w:sz w:val="18"/>
          <w:szCs w:val="18"/>
          <w:lang w:val="en-US"/>
        </w:rPr>
        <w:t>es,</w:t>
      </w:r>
      <w:r w:rsidR="00FB483C">
        <w:rPr>
          <w:rFonts w:ascii="Arial" w:hAnsi="Arial" w:cs="Arial"/>
          <w:sz w:val="18"/>
          <w:szCs w:val="18"/>
          <w:lang w:val="en-US"/>
        </w:rPr>
        <w:t xml:space="preserve"> </w:t>
      </w:r>
      <w:r w:rsidRPr="000501C7">
        <w:rPr>
          <w:rFonts w:ascii="Arial" w:hAnsi="Arial" w:cs="Arial"/>
          <w:sz w:val="18"/>
          <w:szCs w:val="18"/>
          <w:lang w:val="en-US"/>
        </w:rPr>
        <w:t>Nimbus</w:t>
      </w:r>
      <w:r w:rsidR="00540CF5" w:rsidRPr="00540CF5">
        <w:rPr>
          <w:rFonts w:ascii="Arial" w:hAnsi="Arial" w:cs="Arial"/>
          <w:sz w:val="18"/>
          <w:szCs w:val="18"/>
          <w:lang w:val="en-US"/>
        </w:rPr>
        <w:t xml:space="preserve"> mineral oil</w:t>
      </w:r>
      <w:r w:rsidRPr="000501C7">
        <w:rPr>
          <w:rFonts w:ascii="Arial" w:hAnsi="Arial" w:cs="Arial"/>
          <w:sz w:val="18"/>
          <w:szCs w:val="18"/>
          <w:lang w:val="en-US"/>
        </w:rPr>
        <w:t xml:space="preserve"> (500 mL ha</w:t>
      </w:r>
      <w:r w:rsidRPr="000501C7">
        <w:rPr>
          <w:rFonts w:ascii="Arial" w:hAnsi="Arial" w:cs="Arial"/>
          <w:sz w:val="18"/>
          <w:szCs w:val="18"/>
          <w:vertAlign w:val="superscript"/>
          <w:lang w:val="en-US"/>
        </w:rPr>
        <w:t>-1</w:t>
      </w:r>
      <w:r w:rsidRPr="000501C7">
        <w:rPr>
          <w:rFonts w:ascii="Arial" w:hAnsi="Arial" w:cs="Arial"/>
          <w:sz w:val="18"/>
          <w:szCs w:val="18"/>
          <w:lang w:val="en-US"/>
        </w:rPr>
        <w:t>)</w:t>
      </w:r>
      <w:r w:rsidR="00540CF5" w:rsidRPr="00540CF5">
        <w:rPr>
          <w:rFonts w:ascii="Arial" w:hAnsi="Arial" w:cs="Arial"/>
          <w:sz w:val="18"/>
          <w:szCs w:val="18"/>
          <w:lang w:val="en-US"/>
        </w:rPr>
        <w:t xml:space="preserve"> was added</w:t>
      </w:r>
      <w:r w:rsidRPr="000501C7">
        <w:rPr>
          <w:rFonts w:ascii="Arial" w:hAnsi="Arial" w:cs="Arial"/>
          <w:sz w:val="18"/>
          <w:szCs w:val="18"/>
          <w:lang w:val="en-US"/>
        </w:rPr>
        <w:t xml:space="preserve">; </w:t>
      </w:r>
      <w:r w:rsidRPr="000501C7">
        <w:rPr>
          <w:rFonts w:ascii="Arial" w:hAnsi="Arial" w:cs="Arial"/>
          <w:sz w:val="18"/>
          <w:szCs w:val="18"/>
          <w:vertAlign w:val="superscript"/>
          <w:lang w:val="en-US"/>
        </w:rPr>
        <w:t xml:space="preserve">2 </w:t>
      </w:r>
      <w:r w:rsidR="00540CF5" w:rsidRPr="000501C7">
        <w:rPr>
          <w:rFonts w:ascii="Arial" w:hAnsi="Arial" w:cs="Arial"/>
          <w:sz w:val="18"/>
          <w:szCs w:val="18"/>
          <w:lang w:val="en-US"/>
        </w:rPr>
        <w:t>Glyphosate</w:t>
      </w:r>
      <w:r w:rsidR="00FB483C">
        <w:rPr>
          <w:rFonts w:ascii="Arial" w:hAnsi="Arial" w:cs="Arial"/>
          <w:sz w:val="18"/>
          <w:szCs w:val="18"/>
          <w:lang w:val="en-US"/>
        </w:rPr>
        <w:t xml:space="preserve"> </w:t>
      </w:r>
      <w:r w:rsidR="00540CF5" w:rsidRPr="000501C7">
        <w:rPr>
          <w:rFonts w:ascii="Arial" w:hAnsi="Arial" w:cs="Arial"/>
          <w:sz w:val="18"/>
          <w:szCs w:val="18"/>
          <w:lang w:val="en-US"/>
        </w:rPr>
        <w:t>is</w:t>
      </w:r>
      <w:r w:rsidR="00FB483C">
        <w:rPr>
          <w:rFonts w:ascii="Arial" w:hAnsi="Arial" w:cs="Arial"/>
          <w:sz w:val="18"/>
          <w:szCs w:val="18"/>
          <w:lang w:val="en-US"/>
        </w:rPr>
        <w:t xml:space="preserve"> </w:t>
      </w:r>
      <w:r w:rsidR="00540CF5" w:rsidRPr="000501C7">
        <w:rPr>
          <w:rFonts w:ascii="Arial" w:hAnsi="Arial" w:cs="Arial"/>
          <w:sz w:val="18"/>
          <w:szCs w:val="18"/>
          <w:lang w:val="en-US"/>
        </w:rPr>
        <w:t>expressed in acid</w:t>
      </w:r>
      <w:r w:rsidR="00FB483C">
        <w:rPr>
          <w:rFonts w:ascii="Arial" w:hAnsi="Arial" w:cs="Arial"/>
          <w:sz w:val="18"/>
          <w:szCs w:val="18"/>
          <w:lang w:val="en-US"/>
        </w:rPr>
        <w:t xml:space="preserve"> </w:t>
      </w:r>
      <w:r w:rsidR="00540CF5" w:rsidRPr="000501C7">
        <w:rPr>
          <w:rFonts w:ascii="Arial" w:hAnsi="Arial" w:cs="Arial"/>
          <w:sz w:val="18"/>
          <w:szCs w:val="18"/>
          <w:lang w:val="en-US"/>
        </w:rPr>
        <w:t>equivalent</w:t>
      </w:r>
      <w:r w:rsidRPr="000501C7">
        <w:rPr>
          <w:rFonts w:ascii="Arial" w:hAnsi="Arial" w:cs="Arial"/>
          <w:sz w:val="18"/>
          <w:szCs w:val="18"/>
          <w:lang w:val="en-US"/>
        </w:rPr>
        <w:t xml:space="preserve">; </w:t>
      </w:r>
      <w:r w:rsidRPr="000501C7">
        <w:rPr>
          <w:rFonts w:ascii="Arial" w:hAnsi="Arial" w:cs="Arial"/>
          <w:sz w:val="18"/>
          <w:szCs w:val="18"/>
          <w:vertAlign w:val="superscript"/>
          <w:lang w:val="en-US"/>
        </w:rPr>
        <w:t>3</w:t>
      </w:r>
      <w:r w:rsidR="00540CF5" w:rsidRPr="000501C7">
        <w:rPr>
          <w:rFonts w:ascii="Arial" w:hAnsi="Arial" w:cs="Arial"/>
          <w:sz w:val="18"/>
          <w:szCs w:val="18"/>
          <w:lang w:val="en-US"/>
        </w:rPr>
        <w:t>Means followed</w:t>
      </w:r>
      <w:r w:rsidR="00FB483C">
        <w:rPr>
          <w:rFonts w:ascii="Arial" w:hAnsi="Arial" w:cs="Arial"/>
          <w:sz w:val="18"/>
          <w:szCs w:val="18"/>
          <w:lang w:val="en-US"/>
        </w:rPr>
        <w:t xml:space="preserve"> </w:t>
      </w:r>
      <w:r w:rsidR="00540CF5" w:rsidRPr="000501C7">
        <w:rPr>
          <w:rFonts w:ascii="Arial" w:hAnsi="Arial" w:cs="Arial"/>
          <w:sz w:val="18"/>
          <w:szCs w:val="18"/>
          <w:lang w:val="en-US"/>
        </w:rPr>
        <w:t>by</w:t>
      </w:r>
      <w:r w:rsidR="00FB483C">
        <w:rPr>
          <w:rFonts w:ascii="Arial" w:hAnsi="Arial" w:cs="Arial"/>
          <w:sz w:val="18"/>
          <w:szCs w:val="18"/>
          <w:lang w:val="en-US"/>
        </w:rPr>
        <w:t xml:space="preserve"> </w:t>
      </w:r>
      <w:r w:rsidR="00540CF5" w:rsidRPr="000501C7">
        <w:rPr>
          <w:rFonts w:ascii="Arial" w:hAnsi="Arial" w:cs="Arial"/>
          <w:sz w:val="18"/>
          <w:szCs w:val="18"/>
          <w:lang w:val="en-US"/>
        </w:rPr>
        <w:t>the</w:t>
      </w:r>
      <w:r w:rsidR="00FB483C">
        <w:rPr>
          <w:rFonts w:ascii="Arial" w:hAnsi="Arial" w:cs="Arial"/>
          <w:sz w:val="18"/>
          <w:szCs w:val="18"/>
          <w:lang w:val="en-US"/>
        </w:rPr>
        <w:t xml:space="preserve"> </w:t>
      </w:r>
      <w:r w:rsidR="00540CF5" w:rsidRPr="000501C7">
        <w:rPr>
          <w:rFonts w:ascii="Arial" w:hAnsi="Arial" w:cs="Arial"/>
          <w:sz w:val="18"/>
          <w:szCs w:val="18"/>
          <w:lang w:val="en-US"/>
        </w:rPr>
        <w:t>same</w:t>
      </w:r>
      <w:r w:rsidR="00FB483C">
        <w:rPr>
          <w:rFonts w:ascii="Arial" w:hAnsi="Arial" w:cs="Arial"/>
          <w:sz w:val="18"/>
          <w:szCs w:val="18"/>
          <w:lang w:val="en-US"/>
        </w:rPr>
        <w:t xml:space="preserve"> </w:t>
      </w:r>
      <w:r w:rsidR="00540CF5" w:rsidRPr="000501C7">
        <w:rPr>
          <w:rFonts w:ascii="Arial" w:hAnsi="Arial" w:cs="Arial"/>
          <w:sz w:val="18"/>
          <w:szCs w:val="18"/>
          <w:lang w:val="en-US"/>
        </w:rPr>
        <w:t>letter in the</w:t>
      </w:r>
      <w:r w:rsidR="00FB483C">
        <w:rPr>
          <w:rFonts w:ascii="Arial" w:hAnsi="Arial" w:cs="Arial"/>
          <w:sz w:val="18"/>
          <w:szCs w:val="18"/>
          <w:lang w:val="en-US"/>
        </w:rPr>
        <w:t xml:space="preserve"> </w:t>
      </w:r>
      <w:r w:rsidR="00540CF5" w:rsidRPr="000501C7">
        <w:rPr>
          <w:rFonts w:ascii="Arial" w:hAnsi="Arial" w:cs="Arial"/>
          <w:sz w:val="18"/>
          <w:szCs w:val="18"/>
          <w:lang w:val="en-US"/>
        </w:rPr>
        <w:t>column do notdifferby</w:t>
      </w:r>
      <w:r w:rsidR="00AA2376" w:rsidRPr="00AA2376">
        <w:rPr>
          <w:rFonts w:ascii="Arial" w:hAnsi="Arial" w:cs="Arial"/>
          <w:sz w:val="18"/>
          <w:szCs w:val="18"/>
          <w:lang w:val="en-US"/>
        </w:rPr>
        <w:t xml:space="preserve"> among them by</w:t>
      </w:r>
      <w:r w:rsidR="00540CF5" w:rsidRPr="000501C7">
        <w:rPr>
          <w:rFonts w:ascii="Arial" w:hAnsi="Arial" w:cs="Arial"/>
          <w:sz w:val="18"/>
          <w:szCs w:val="18"/>
          <w:lang w:val="en-US"/>
        </w:rPr>
        <w:t xml:space="preserve"> Scott-Knotttest (p = 0.05). Statisticalanalysiswasperformedwith data convertedto</w:t>
      </w:r>
      <w:r w:rsidR="00AA2376" w:rsidRPr="00AA2376">
        <w:rPr>
          <w:rFonts w:ascii="Arial" w:hAnsi="Arial" w:cs="Arial"/>
          <w:sz w:val="18"/>
          <w:szCs w:val="18"/>
          <w:lang w:val="en-US"/>
        </w:rPr>
        <w:t xml:space="preserve"> arc</w:t>
      </w:r>
      <w:r w:rsidR="00AA2376" w:rsidRPr="000501C7">
        <w:rPr>
          <w:rFonts w:ascii="Arial" w:hAnsi="Arial" w:cs="Arial"/>
          <w:sz w:val="18"/>
          <w:szCs w:val="18"/>
          <w:lang w:val="en-US"/>
        </w:rPr>
        <w:t>sen √x/</w:t>
      </w:r>
      <w:r w:rsidR="00540CF5" w:rsidRPr="000501C7">
        <w:rPr>
          <w:rFonts w:ascii="Arial" w:hAnsi="Arial" w:cs="Arial"/>
          <w:sz w:val="18"/>
          <w:szCs w:val="18"/>
          <w:lang w:val="en-US"/>
        </w:rPr>
        <w:t>100.</w:t>
      </w:r>
    </w:p>
    <w:p w:rsidR="00C13896" w:rsidRPr="00540CF5" w:rsidRDefault="00C13896" w:rsidP="00C13896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</w:p>
    <w:p w:rsidR="005F64EC" w:rsidRPr="00BD1C1E" w:rsidRDefault="00DC2197" w:rsidP="005F64EC">
      <w:pPr>
        <w:spacing w:line="480" w:lineRule="auto"/>
        <w:ind w:firstLine="708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C2197">
        <w:rPr>
          <w:rFonts w:ascii="Arial" w:hAnsi="Arial" w:cs="Arial"/>
          <w:sz w:val="20"/>
          <w:szCs w:val="20"/>
          <w:lang w:val="en-US"/>
        </w:rPr>
        <w:t>MELO et al. (2012) found that paraquat and glufosinate</w:t>
      </w:r>
      <w:r w:rsidR="002D013A">
        <w:rPr>
          <w:rFonts w:ascii="Arial" w:hAnsi="Arial" w:cs="Arial"/>
          <w:sz w:val="20"/>
          <w:szCs w:val="20"/>
          <w:lang w:val="en-US"/>
        </w:rPr>
        <w:t>herbicides do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not have the same flexibility of glyphosate, demanding proper care especially </w:t>
      </w:r>
      <w:r w:rsidR="002D013A">
        <w:rPr>
          <w:rFonts w:ascii="Arial" w:hAnsi="Arial" w:cs="Arial"/>
          <w:sz w:val="20"/>
          <w:szCs w:val="20"/>
          <w:lang w:val="en-US"/>
        </w:rPr>
        <w:t>at application time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and </w:t>
      </w:r>
      <w:r w:rsidR="002D013A">
        <w:rPr>
          <w:rFonts w:ascii="Arial" w:hAnsi="Arial" w:cs="Arial"/>
          <w:sz w:val="20"/>
          <w:szCs w:val="20"/>
          <w:lang w:val="en-US"/>
        </w:rPr>
        <w:t xml:space="preserve">weed </w:t>
      </w:r>
      <w:r w:rsidRPr="00DC2197">
        <w:rPr>
          <w:rFonts w:ascii="Arial" w:hAnsi="Arial" w:cs="Arial"/>
          <w:sz w:val="20"/>
          <w:szCs w:val="20"/>
          <w:lang w:val="en-US"/>
        </w:rPr>
        <w:t>stage. The most common use of these herbicides is in sequential applications</w:t>
      </w:r>
      <w:r w:rsidR="00900A1E">
        <w:rPr>
          <w:rFonts w:ascii="Arial" w:hAnsi="Arial" w:cs="Arial"/>
          <w:sz w:val="20"/>
          <w:szCs w:val="20"/>
          <w:lang w:val="en-US"/>
        </w:rPr>
        <w:t>, to complement</w:t>
      </w:r>
      <w:r w:rsidR="002D013A">
        <w:rPr>
          <w:rFonts w:ascii="Arial" w:hAnsi="Arial" w:cs="Arial"/>
          <w:sz w:val="20"/>
          <w:szCs w:val="20"/>
          <w:lang w:val="en-US"/>
        </w:rPr>
        <w:t xml:space="preserve"> glyphosate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action, or </w:t>
      </w:r>
      <w:r w:rsidR="00CB68B9">
        <w:rPr>
          <w:rFonts w:ascii="Arial" w:hAnsi="Arial" w:cs="Arial"/>
          <w:sz w:val="20"/>
          <w:szCs w:val="20"/>
          <w:lang w:val="en-US"/>
        </w:rPr>
        <w:t xml:space="preserve">with </w:t>
      </w:r>
      <w:r w:rsidRPr="00DC2197">
        <w:rPr>
          <w:rFonts w:ascii="Arial" w:hAnsi="Arial" w:cs="Arial"/>
          <w:sz w:val="20"/>
          <w:szCs w:val="20"/>
          <w:lang w:val="en-US"/>
        </w:rPr>
        <w:t>other products. In addition</w:t>
      </w:r>
      <w:r w:rsidR="002D013A">
        <w:rPr>
          <w:rFonts w:ascii="Arial" w:hAnsi="Arial" w:cs="Arial"/>
          <w:sz w:val="20"/>
          <w:szCs w:val="20"/>
          <w:lang w:val="en-US"/>
        </w:rPr>
        <w:t>,</w:t>
      </w:r>
      <w:r w:rsidRPr="00DC2197">
        <w:rPr>
          <w:rFonts w:ascii="Arial" w:hAnsi="Arial" w:cs="Arial"/>
          <w:sz w:val="20"/>
          <w:szCs w:val="20"/>
          <w:lang w:val="en-US"/>
        </w:rPr>
        <w:t>glufosinate has gained importance mainly by the possibility of mechanism</w:t>
      </w:r>
      <w:r w:rsidR="002D013A">
        <w:rPr>
          <w:rFonts w:ascii="Arial" w:hAnsi="Arial" w:cs="Arial"/>
          <w:sz w:val="20"/>
          <w:szCs w:val="20"/>
          <w:lang w:val="en-US"/>
        </w:rPr>
        <w:t>s</w:t>
      </w:r>
      <w:r w:rsidR="00BD1C1E">
        <w:rPr>
          <w:rFonts w:ascii="Arial" w:hAnsi="Arial" w:cs="Arial"/>
          <w:sz w:val="20"/>
          <w:szCs w:val="20"/>
          <w:lang w:val="en-US"/>
        </w:rPr>
        <w:t xml:space="preserve"> of action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rotation, being an important strategy</w:t>
      </w:r>
      <w:r w:rsidR="002D013A">
        <w:rPr>
          <w:rFonts w:ascii="Arial" w:hAnsi="Arial" w:cs="Arial"/>
          <w:sz w:val="20"/>
          <w:szCs w:val="20"/>
          <w:lang w:val="en-US"/>
        </w:rPr>
        <w:t xml:space="preserve"> in the proper management of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crop</w:t>
      </w:r>
      <w:r w:rsidR="002D013A">
        <w:rPr>
          <w:rFonts w:ascii="Arial" w:hAnsi="Arial" w:cs="Arial"/>
          <w:sz w:val="20"/>
          <w:szCs w:val="20"/>
          <w:lang w:val="en-US"/>
        </w:rPr>
        <w:t>s,</w:t>
      </w:r>
      <w:r w:rsidRPr="00DC2197">
        <w:rPr>
          <w:rFonts w:ascii="Arial" w:hAnsi="Arial" w:cs="Arial"/>
          <w:sz w:val="20"/>
          <w:szCs w:val="20"/>
          <w:lang w:val="en-US"/>
        </w:rPr>
        <w:t xml:space="preserve"> avoiding resistance, as elucidated by GEMELLI et al. </w:t>
      </w:r>
      <w:r w:rsidRPr="00BD1C1E">
        <w:rPr>
          <w:rFonts w:ascii="Arial" w:hAnsi="Arial" w:cs="Arial"/>
          <w:sz w:val="20"/>
          <w:szCs w:val="20"/>
          <w:lang w:val="en-US"/>
        </w:rPr>
        <w:t>(2013).</w:t>
      </w:r>
    </w:p>
    <w:p w:rsidR="001C2B27" w:rsidRPr="0034661F" w:rsidRDefault="002D013A" w:rsidP="005F64EC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2D013A">
        <w:rPr>
          <w:rFonts w:ascii="Arial" w:hAnsi="Arial" w:cs="Arial"/>
          <w:sz w:val="20"/>
          <w:szCs w:val="20"/>
          <w:lang w:val="en-US"/>
        </w:rPr>
        <w:t>For</w:t>
      </w:r>
      <w:r>
        <w:rPr>
          <w:rFonts w:ascii="Arial" w:hAnsi="Arial" w:cs="Arial"/>
          <w:sz w:val="20"/>
          <w:szCs w:val="20"/>
          <w:lang w:val="en-US"/>
        </w:rPr>
        <w:t xml:space="preserve"> an</w:t>
      </w:r>
      <w:r w:rsidR="0034661F" w:rsidRPr="0034661F">
        <w:rPr>
          <w:rFonts w:ascii="Arial" w:hAnsi="Arial" w:cs="Arial"/>
          <w:sz w:val="20"/>
          <w:szCs w:val="20"/>
          <w:lang w:val="en-US"/>
        </w:rPr>
        <w:t xml:space="preserve"> increase in control efficiency, it is observed that at 42 DAT, there was</w:t>
      </w:r>
      <w:r>
        <w:rPr>
          <w:rFonts w:ascii="Arial" w:hAnsi="Arial" w:cs="Arial"/>
          <w:sz w:val="20"/>
          <w:szCs w:val="20"/>
          <w:lang w:val="en-US"/>
        </w:rPr>
        <w:t xml:space="preserve"> a</w:t>
      </w:r>
      <w:r w:rsidR="0034661F" w:rsidRPr="0034661F">
        <w:rPr>
          <w:rFonts w:ascii="Arial" w:hAnsi="Arial" w:cs="Arial"/>
          <w:sz w:val="20"/>
          <w:szCs w:val="20"/>
          <w:lang w:val="en-US"/>
        </w:rPr>
        <w:t xml:space="preserve"> control increase compa</w:t>
      </w:r>
      <w:r>
        <w:rPr>
          <w:rFonts w:ascii="Arial" w:hAnsi="Arial" w:cs="Arial"/>
          <w:sz w:val="20"/>
          <w:szCs w:val="20"/>
          <w:lang w:val="en-US"/>
        </w:rPr>
        <w:t>red to glyphosate (</w:t>
      </w:r>
      <w:r w:rsidRPr="002D013A">
        <w:rPr>
          <w:rFonts w:ascii="Arial" w:hAnsi="Arial" w:cs="Arial"/>
          <w:sz w:val="20"/>
          <w:szCs w:val="20"/>
          <w:lang w:val="en-US"/>
        </w:rPr>
        <w:t>720g e. a. ha</w:t>
      </w:r>
      <w:r w:rsidRPr="002D013A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>
        <w:rPr>
          <w:rFonts w:ascii="Arial" w:hAnsi="Arial" w:cs="Arial"/>
          <w:sz w:val="20"/>
          <w:szCs w:val="20"/>
          <w:lang w:val="en-US"/>
        </w:rPr>
        <w:t>) (Figure 1a) for glyphosate</w:t>
      </w:r>
      <w:r w:rsidR="0034661F" w:rsidRPr="0034661F">
        <w:rPr>
          <w:rFonts w:ascii="Arial" w:hAnsi="Arial" w:cs="Arial"/>
          <w:sz w:val="20"/>
          <w:szCs w:val="20"/>
          <w:lang w:val="en-US"/>
        </w:rPr>
        <w:t xml:space="preserve"> + clethodim (</w:t>
      </w:r>
      <w:r w:rsidRPr="002D013A">
        <w:rPr>
          <w:rFonts w:ascii="Arial" w:hAnsi="Arial" w:cs="Arial"/>
          <w:sz w:val="20"/>
          <w:szCs w:val="20"/>
          <w:lang w:val="en-US"/>
        </w:rPr>
        <w:t>720 g e. a. ha</w:t>
      </w:r>
      <w:r w:rsidRPr="002D013A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Pr="002D013A">
        <w:rPr>
          <w:rFonts w:ascii="Arial" w:hAnsi="Arial" w:cs="Arial"/>
          <w:sz w:val="20"/>
          <w:szCs w:val="20"/>
          <w:lang w:val="en-US"/>
        </w:rPr>
        <w:t xml:space="preserve"> + 72 g ha</w:t>
      </w:r>
      <w:r w:rsidRPr="002D013A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585142">
        <w:rPr>
          <w:rFonts w:ascii="Arial" w:hAnsi="Arial" w:cs="Arial"/>
          <w:sz w:val="20"/>
          <w:szCs w:val="20"/>
          <w:lang w:val="en-US"/>
        </w:rPr>
        <w:t xml:space="preserve"> and</w:t>
      </w:r>
      <w:r w:rsidR="0034661F" w:rsidRPr="0034661F">
        <w:rPr>
          <w:rFonts w:ascii="Arial" w:hAnsi="Arial" w:cs="Arial"/>
          <w:sz w:val="20"/>
          <w:szCs w:val="20"/>
          <w:lang w:val="en-US"/>
        </w:rPr>
        <w:t xml:space="preserve"> glyph</w:t>
      </w:r>
      <w:r>
        <w:rPr>
          <w:rFonts w:ascii="Arial" w:hAnsi="Arial" w:cs="Arial"/>
          <w:sz w:val="20"/>
          <w:szCs w:val="20"/>
          <w:lang w:val="en-US"/>
        </w:rPr>
        <w:t>osate + quizalofop-p-tefuril (</w:t>
      </w:r>
      <w:r w:rsidRPr="002D013A">
        <w:rPr>
          <w:rFonts w:ascii="Arial" w:hAnsi="Arial" w:cs="Arial"/>
          <w:sz w:val="20"/>
          <w:szCs w:val="20"/>
          <w:lang w:val="en-US"/>
        </w:rPr>
        <w:t>720 g e.a. ha</w:t>
      </w:r>
      <w:r w:rsidRPr="002D013A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Pr="002D013A">
        <w:rPr>
          <w:rFonts w:ascii="Arial" w:hAnsi="Arial" w:cs="Arial"/>
          <w:sz w:val="20"/>
          <w:szCs w:val="20"/>
          <w:lang w:val="en-US"/>
        </w:rPr>
        <w:t xml:space="preserve"> + 96 g ha</w:t>
      </w:r>
      <w:r w:rsidRPr="002D013A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34661F" w:rsidRPr="0034661F">
        <w:rPr>
          <w:rFonts w:ascii="Arial" w:hAnsi="Arial" w:cs="Arial"/>
          <w:sz w:val="20"/>
          <w:szCs w:val="20"/>
          <w:lang w:val="en-US"/>
        </w:rPr>
        <w:t>), followed by glyphosate (</w:t>
      </w:r>
      <w:r w:rsidRPr="002D013A">
        <w:rPr>
          <w:rFonts w:ascii="Arial" w:hAnsi="Arial" w:cs="Arial"/>
          <w:sz w:val="20"/>
          <w:szCs w:val="20"/>
          <w:lang w:val="en-US"/>
        </w:rPr>
        <w:t>2160 g e. a. ha</w:t>
      </w:r>
      <w:r w:rsidRPr="002D013A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34661F" w:rsidRPr="0034661F">
        <w:rPr>
          <w:rFonts w:ascii="Arial" w:hAnsi="Arial" w:cs="Arial"/>
          <w:sz w:val="20"/>
          <w:szCs w:val="20"/>
          <w:lang w:val="en-US"/>
        </w:rPr>
        <w:t>) and glyphosate + fluazifop-p-butyl (</w:t>
      </w:r>
      <w:r w:rsidRPr="002D013A">
        <w:rPr>
          <w:rFonts w:ascii="Arial" w:hAnsi="Arial" w:cs="Arial"/>
          <w:sz w:val="20"/>
          <w:szCs w:val="20"/>
          <w:lang w:val="en-US"/>
        </w:rPr>
        <w:t>720 g e.a. ha</w:t>
      </w:r>
      <w:r w:rsidRPr="002D013A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Pr="002D013A">
        <w:rPr>
          <w:rFonts w:ascii="Arial" w:hAnsi="Arial" w:cs="Arial"/>
          <w:sz w:val="20"/>
          <w:szCs w:val="20"/>
          <w:lang w:val="en-US"/>
        </w:rPr>
        <w:t xml:space="preserve"> + 200 g ha</w:t>
      </w:r>
      <w:r w:rsidRPr="002D013A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>
        <w:rPr>
          <w:rFonts w:ascii="Arial" w:hAnsi="Arial" w:cs="Arial"/>
          <w:sz w:val="20"/>
          <w:szCs w:val="20"/>
          <w:lang w:val="en-US"/>
        </w:rPr>
        <w:t>) treatments</w:t>
      </w:r>
      <w:r w:rsidR="0034661F" w:rsidRPr="0034661F">
        <w:rPr>
          <w:rFonts w:ascii="Arial" w:hAnsi="Arial" w:cs="Arial"/>
          <w:sz w:val="20"/>
          <w:szCs w:val="20"/>
          <w:lang w:val="en-US"/>
        </w:rPr>
        <w:t>. The other variables also demonstrated increased control, with no statistical differences</w:t>
      </w:r>
      <w:r w:rsidR="00D207EA">
        <w:rPr>
          <w:rFonts w:ascii="Arial" w:hAnsi="Arial" w:cs="Arial"/>
          <w:sz w:val="20"/>
          <w:szCs w:val="20"/>
          <w:lang w:val="en-US"/>
        </w:rPr>
        <w:t xml:space="preserve"> from</w:t>
      </w:r>
      <w:r w:rsidR="00BD1C1E">
        <w:rPr>
          <w:rFonts w:ascii="Arial" w:hAnsi="Arial" w:cs="Arial"/>
          <w:sz w:val="20"/>
          <w:szCs w:val="20"/>
          <w:lang w:val="en-US"/>
        </w:rPr>
        <w:t xml:space="preserve"> </w:t>
      </w:r>
      <w:r w:rsidR="0034661F" w:rsidRPr="0034661F">
        <w:rPr>
          <w:rFonts w:ascii="Arial" w:hAnsi="Arial" w:cs="Arial"/>
          <w:sz w:val="20"/>
          <w:szCs w:val="20"/>
          <w:lang w:val="en-US"/>
        </w:rPr>
        <w:t>ACCase inhibitors applied alone, cleth</w:t>
      </w:r>
      <w:r w:rsidR="00D207EA">
        <w:rPr>
          <w:rFonts w:ascii="Arial" w:hAnsi="Arial" w:cs="Arial"/>
          <w:sz w:val="20"/>
          <w:szCs w:val="20"/>
          <w:lang w:val="en-US"/>
        </w:rPr>
        <w:t>odim and quizalofop-p-tefuril</w:t>
      </w:r>
      <w:r w:rsidR="0034661F" w:rsidRPr="0034661F">
        <w:rPr>
          <w:rFonts w:ascii="Arial" w:hAnsi="Arial" w:cs="Arial"/>
          <w:sz w:val="20"/>
          <w:szCs w:val="20"/>
          <w:lang w:val="en-US"/>
        </w:rPr>
        <w:t>. Fluazifop-p-butyl and Clodinafop</w:t>
      </w:r>
      <w:r w:rsidR="00D207EA">
        <w:rPr>
          <w:rFonts w:ascii="Arial" w:hAnsi="Arial" w:cs="Arial"/>
          <w:sz w:val="20"/>
          <w:szCs w:val="20"/>
          <w:lang w:val="en-US"/>
        </w:rPr>
        <w:t>,</w:t>
      </w:r>
      <w:r w:rsidR="00585142">
        <w:rPr>
          <w:rFonts w:ascii="Arial" w:hAnsi="Arial" w:cs="Arial"/>
          <w:sz w:val="20"/>
          <w:szCs w:val="20"/>
          <w:lang w:val="en-US"/>
        </w:rPr>
        <w:t xml:space="preserve"> when applied alone, did</w:t>
      </w:r>
      <w:r w:rsidR="0034661F" w:rsidRPr="0034661F">
        <w:rPr>
          <w:rFonts w:ascii="Arial" w:hAnsi="Arial" w:cs="Arial"/>
          <w:sz w:val="20"/>
          <w:szCs w:val="20"/>
          <w:lang w:val="en-US"/>
        </w:rPr>
        <w:t xml:space="preserve"> not show any increase, but when combined with glyphosate, benefited. In general, glyphosatealone</w:t>
      </w:r>
      <w:r w:rsidR="00D207EA">
        <w:rPr>
          <w:rFonts w:ascii="Arial" w:hAnsi="Arial" w:cs="Arial"/>
          <w:sz w:val="20"/>
          <w:szCs w:val="20"/>
          <w:lang w:val="en-US"/>
        </w:rPr>
        <w:t xml:space="preserve"> or</w:t>
      </w:r>
      <w:r w:rsidR="0034661F" w:rsidRPr="0034661F">
        <w:rPr>
          <w:rFonts w:ascii="Arial" w:hAnsi="Arial" w:cs="Arial"/>
          <w:sz w:val="20"/>
          <w:szCs w:val="20"/>
          <w:lang w:val="en-US"/>
        </w:rPr>
        <w:t xml:space="preserve"> in combination showed an increase in </w:t>
      </w:r>
      <w:r w:rsidR="00D207EA">
        <w:rPr>
          <w:rFonts w:ascii="Arial" w:hAnsi="Arial" w:cs="Arial"/>
          <w:sz w:val="20"/>
          <w:szCs w:val="20"/>
          <w:lang w:val="en-US"/>
        </w:rPr>
        <w:t xml:space="preserve">control </w:t>
      </w:r>
      <w:r w:rsidR="0034661F" w:rsidRPr="0034661F">
        <w:rPr>
          <w:rFonts w:ascii="Arial" w:hAnsi="Arial" w:cs="Arial"/>
          <w:sz w:val="20"/>
          <w:szCs w:val="20"/>
          <w:lang w:val="en-US"/>
        </w:rPr>
        <w:t>efficiency</w:t>
      </w:r>
      <w:r w:rsidR="00585142">
        <w:rPr>
          <w:rFonts w:ascii="Arial" w:hAnsi="Arial" w:cs="Arial"/>
          <w:sz w:val="20"/>
          <w:szCs w:val="20"/>
          <w:lang w:val="en-US"/>
        </w:rPr>
        <w:t>,</w:t>
      </w:r>
      <w:r w:rsidR="0034661F" w:rsidRPr="0034661F">
        <w:rPr>
          <w:rFonts w:ascii="Arial" w:hAnsi="Arial" w:cs="Arial"/>
          <w:sz w:val="20"/>
          <w:szCs w:val="20"/>
          <w:lang w:val="en-US"/>
        </w:rPr>
        <w:t xml:space="preserve"> in re</w:t>
      </w:r>
      <w:r w:rsidR="00D207EA">
        <w:rPr>
          <w:rFonts w:ascii="Arial" w:hAnsi="Arial" w:cs="Arial"/>
          <w:sz w:val="20"/>
          <w:szCs w:val="20"/>
          <w:lang w:val="en-US"/>
        </w:rPr>
        <w:t xml:space="preserve">sponse to increasing the dose from 1440 to </w:t>
      </w:r>
      <w:r w:rsidR="00D207EA" w:rsidRPr="00D207EA">
        <w:rPr>
          <w:rFonts w:ascii="Arial" w:hAnsi="Arial" w:cs="Arial"/>
          <w:sz w:val="20"/>
          <w:szCs w:val="20"/>
          <w:lang w:val="en-US"/>
        </w:rPr>
        <w:t>2160 g e. a. ha</w:t>
      </w:r>
      <w:r w:rsidR="00D207EA" w:rsidRPr="00D207EA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D207EA">
        <w:rPr>
          <w:rFonts w:ascii="Arial" w:hAnsi="Arial" w:cs="Arial"/>
          <w:sz w:val="20"/>
          <w:szCs w:val="20"/>
          <w:lang w:val="en-US"/>
        </w:rPr>
        <w:t>. W</w:t>
      </w:r>
      <w:r w:rsidR="0034661F" w:rsidRPr="0034661F">
        <w:rPr>
          <w:rFonts w:ascii="Arial" w:hAnsi="Arial" w:cs="Arial"/>
          <w:sz w:val="20"/>
          <w:szCs w:val="20"/>
          <w:lang w:val="en-US"/>
        </w:rPr>
        <w:t>hen compared t</w:t>
      </w:r>
      <w:r w:rsidR="00D207EA">
        <w:rPr>
          <w:rFonts w:ascii="Arial" w:hAnsi="Arial" w:cs="Arial"/>
          <w:sz w:val="20"/>
          <w:szCs w:val="20"/>
          <w:lang w:val="en-US"/>
        </w:rPr>
        <w:t xml:space="preserve">o the </w:t>
      </w:r>
      <w:r w:rsidR="00D207EA" w:rsidRPr="00D207EA">
        <w:rPr>
          <w:rFonts w:ascii="Arial" w:hAnsi="Arial" w:cs="Arial"/>
          <w:sz w:val="20"/>
          <w:szCs w:val="20"/>
          <w:lang w:val="en-US"/>
        </w:rPr>
        <w:t>720 g e. a. ha</w:t>
      </w:r>
      <w:r w:rsidR="00D207EA" w:rsidRPr="00D207EA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D207EA">
        <w:rPr>
          <w:rFonts w:ascii="Arial" w:hAnsi="Arial" w:cs="Arial"/>
          <w:sz w:val="20"/>
          <w:szCs w:val="20"/>
          <w:lang w:val="en-US"/>
        </w:rPr>
        <w:t xml:space="preserve"> dose, </w:t>
      </w:r>
      <w:r w:rsidR="0034661F" w:rsidRPr="0034661F">
        <w:rPr>
          <w:rFonts w:ascii="Arial" w:hAnsi="Arial" w:cs="Arial"/>
          <w:sz w:val="20"/>
          <w:szCs w:val="20"/>
          <w:lang w:val="en-US"/>
        </w:rPr>
        <w:t>paraquat</w:t>
      </w:r>
      <w:r w:rsidR="00D207EA">
        <w:rPr>
          <w:rFonts w:ascii="Arial" w:hAnsi="Arial" w:cs="Arial"/>
          <w:sz w:val="20"/>
          <w:szCs w:val="20"/>
          <w:lang w:val="en-US"/>
        </w:rPr>
        <w:t xml:space="preserve">herbicide </w:t>
      </w:r>
      <w:r w:rsidR="0034661F" w:rsidRPr="0034661F">
        <w:rPr>
          <w:rFonts w:ascii="Arial" w:hAnsi="Arial" w:cs="Arial"/>
          <w:sz w:val="20"/>
          <w:szCs w:val="20"/>
          <w:lang w:val="en-US"/>
        </w:rPr>
        <w:t>showed an</w:t>
      </w:r>
      <w:r w:rsidR="008C1B12">
        <w:rPr>
          <w:rFonts w:ascii="Arial" w:hAnsi="Arial" w:cs="Arial"/>
          <w:sz w:val="20"/>
          <w:szCs w:val="20"/>
          <w:lang w:val="en-US"/>
        </w:rPr>
        <w:t xml:space="preserve"> control</w:t>
      </w:r>
      <w:r w:rsidR="0034661F" w:rsidRPr="0034661F">
        <w:rPr>
          <w:rFonts w:ascii="Arial" w:hAnsi="Arial" w:cs="Arial"/>
          <w:sz w:val="20"/>
          <w:szCs w:val="20"/>
          <w:lang w:val="en-US"/>
        </w:rPr>
        <w:t xml:space="preserve"> increase of 19%</w:t>
      </w:r>
      <w:r w:rsidR="00D207EA">
        <w:rPr>
          <w:rFonts w:ascii="Arial" w:hAnsi="Arial" w:cs="Arial"/>
          <w:sz w:val="20"/>
          <w:szCs w:val="20"/>
          <w:lang w:val="en-US"/>
        </w:rPr>
        <w:t>,</w:t>
      </w:r>
      <w:r w:rsidR="0034661F" w:rsidRPr="0034661F">
        <w:rPr>
          <w:rFonts w:ascii="Arial" w:hAnsi="Arial" w:cs="Arial"/>
          <w:sz w:val="20"/>
          <w:szCs w:val="20"/>
          <w:lang w:val="en-US"/>
        </w:rPr>
        <w:t xml:space="preserve"> equaling other trea</w:t>
      </w:r>
      <w:r w:rsidR="00D207EA">
        <w:rPr>
          <w:rFonts w:ascii="Arial" w:hAnsi="Arial" w:cs="Arial"/>
          <w:sz w:val="20"/>
          <w:szCs w:val="20"/>
          <w:lang w:val="en-US"/>
        </w:rPr>
        <w:t>tments, which demonstrates that its ryegrass</w:t>
      </w:r>
      <w:r w:rsidR="0034661F" w:rsidRPr="0034661F">
        <w:rPr>
          <w:rFonts w:ascii="Arial" w:hAnsi="Arial" w:cs="Arial"/>
          <w:sz w:val="20"/>
          <w:szCs w:val="20"/>
          <w:lang w:val="en-US"/>
        </w:rPr>
        <w:t xml:space="preserve"> control is efficient.</w:t>
      </w:r>
    </w:p>
    <w:p w:rsidR="0031789D" w:rsidRPr="00E631A5" w:rsidRDefault="00FB4F68" w:rsidP="001C2B27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hen compared to </w:t>
      </w: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="00E631A5" w:rsidRPr="00E631A5">
        <w:rPr>
          <w:rFonts w:ascii="Arial" w:hAnsi="Arial" w:cs="Arial"/>
          <w:sz w:val="20"/>
          <w:szCs w:val="20"/>
          <w:lang w:val="en-US"/>
        </w:rPr>
        <w:t>glyphosate dose of</w:t>
      </w:r>
      <w:r w:rsidRPr="00FB4F68">
        <w:rPr>
          <w:rFonts w:ascii="Arial" w:hAnsi="Arial" w:cs="Arial"/>
          <w:sz w:val="20"/>
          <w:szCs w:val="20"/>
          <w:lang w:val="en-US"/>
        </w:rPr>
        <w:t>1440 g e. a. ha</w:t>
      </w:r>
      <w:r w:rsidRPr="00FB4F68">
        <w:rPr>
          <w:rFonts w:ascii="Arial" w:hAnsi="Arial" w:cs="Arial"/>
          <w:sz w:val="20"/>
          <w:szCs w:val="20"/>
          <w:vertAlign w:val="superscript"/>
          <w:lang w:val="en-US"/>
        </w:rPr>
        <w:t xml:space="preserve">-1 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(Figure 1b), glyphosate </w:t>
      </w:r>
      <w:r>
        <w:rPr>
          <w:rFonts w:ascii="Arial" w:hAnsi="Arial" w:cs="Arial"/>
          <w:sz w:val="20"/>
          <w:szCs w:val="20"/>
          <w:lang w:val="en-US"/>
        </w:rPr>
        <w:t>+ clethodim and</w:t>
      </w:r>
      <w:r w:rsidRPr="00E631A5">
        <w:rPr>
          <w:rFonts w:ascii="Arial" w:hAnsi="Arial" w:cs="Arial"/>
          <w:sz w:val="20"/>
          <w:szCs w:val="20"/>
          <w:lang w:val="en-US"/>
        </w:rPr>
        <w:t xml:space="preserve">glyphosate </w:t>
      </w:r>
      <w:r>
        <w:rPr>
          <w:rFonts w:ascii="Arial" w:hAnsi="Arial" w:cs="Arial"/>
          <w:sz w:val="20"/>
          <w:szCs w:val="20"/>
          <w:lang w:val="en-US"/>
        </w:rPr>
        <w:t>+ quizalofop-p-tefuril</w:t>
      </w:r>
      <w:r w:rsidR="00A32C8F">
        <w:rPr>
          <w:rFonts w:ascii="Arial" w:hAnsi="Arial" w:cs="Arial"/>
          <w:sz w:val="20"/>
          <w:szCs w:val="20"/>
          <w:lang w:val="en-US"/>
        </w:rPr>
        <w:t xml:space="preserve"> showed to be better than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 other treatments, followed by glyphosate + fluazifop-p-butyl and g</w:t>
      </w:r>
      <w:r>
        <w:rPr>
          <w:rFonts w:ascii="Arial" w:hAnsi="Arial" w:cs="Arial"/>
          <w:sz w:val="20"/>
          <w:szCs w:val="20"/>
          <w:lang w:val="en-US"/>
        </w:rPr>
        <w:t xml:space="preserve">lyphosate at </w:t>
      </w:r>
      <w:r w:rsidRPr="00FB4F68">
        <w:rPr>
          <w:rFonts w:ascii="Arial" w:hAnsi="Arial" w:cs="Arial"/>
          <w:sz w:val="20"/>
          <w:szCs w:val="20"/>
          <w:lang w:val="en-US"/>
        </w:rPr>
        <w:t>2160 g e. a. ha</w:t>
      </w:r>
      <w:r w:rsidRPr="00FB4F68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>
        <w:rPr>
          <w:rFonts w:ascii="Arial" w:hAnsi="Arial" w:cs="Arial"/>
          <w:sz w:val="20"/>
          <w:szCs w:val="20"/>
          <w:lang w:val="en-US"/>
        </w:rPr>
        <w:t>. However</w:t>
      </w:r>
      <w:r w:rsidR="00E631A5" w:rsidRPr="00E631A5">
        <w:rPr>
          <w:rFonts w:ascii="Arial" w:hAnsi="Arial" w:cs="Arial"/>
          <w:sz w:val="20"/>
          <w:szCs w:val="20"/>
          <w:lang w:val="en-US"/>
        </w:rPr>
        <w:t>, this increase was not a</w:t>
      </w:r>
      <w:r>
        <w:rPr>
          <w:rFonts w:ascii="Arial" w:hAnsi="Arial" w:cs="Arial"/>
          <w:sz w:val="20"/>
          <w:szCs w:val="20"/>
          <w:lang w:val="en-US"/>
        </w:rPr>
        <w:t xml:space="preserve">s significant as before at a </w:t>
      </w:r>
      <w:r w:rsidRPr="00FB4F68">
        <w:rPr>
          <w:rFonts w:ascii="Arial" w:hAnsi="Arial" w:cs="Arial"/>
          <w:sz w:val="20"/>
          <w:szCs w:val="20"/>
          <w:lang w:val="en-US"/>
        </w:rPr>
        <w:t>720 g e. a. ha</w:t>
      </w:r>
      <w:r w:rsidRPr="00FB4F68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>
        <w:rPr>
          <w:rFonts w:ascii="Arial" w:hAnsi="Arial" w:cs="Arial"/>
          <w:sz w:val="20"/>
          <w:szCs w:val="20"/>
          <w:lang w:val="en-US"/>
        </w:rPr>
        <w:t xml:space="preserve"> dose, 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showing that </w:t>
      </w:r>
      <w:r>
        <w:rPr>
          <w:rFonts w:ascii="Arial" w:hAnsi="Arial" w:cs="Arial"/>
          <w:sz w:val="20"/>
          <w:szCs w:val="20"/>
          <w:lang w:val="en-US"/>
        </w:rPr>
        <w:t>the increase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 of </w:t>
      </w:r>
      <w:r w:rsidR="00A32C8F">
        <w:rPr>
          <w:rFonts w:ascii="Arial" w:hAnsi="Arial" w:cs="Arial"/>
          <w:sz w:val="20"/>
          <w:szCs w:val="20"/>
          <w:lang w:val="en-US"/>
        </w:rPr>
        <w:t xml:space="preserve">the </w:t>
      </w:r>
      <w:r w:rsidR="00E631A5" w:rsidRPr="00E631A5">
        <w:rPr>
          <w:rFonts w:ascii="Arial" w:hAnsi="Arial" w:cs="Arial"/>
          <w:sz w:val="20"/>
          <w:szCs w:val="20"/>
          <w:lang w:val="en-US"/>
        </w:rPr>
        <w:t>glyphosate herbicide</w:t>
      </w:r>
      <w:r>
        <w:rPr>
          <w:rFonts w:ascii="Arial" w:hAnsi="Arial" w:cs="Arial"/>
          <w:sz w:val="20"/>
          <w:szCs w:val="20"/>
          <w:lang w:val="en-US"/>
        </w:rPr>
        <w:t xml:space="preserve"> dose provided greater control. T</w:t>
      </w:r>
      <w:r w:rsidR="00E631A5" w:rsidRPr="00E631A5">
        <w:rPr>
          <w:rFonts w:ascii="Arial" w:hAnsi="Arial" w:cs="Arial"/>
          <w:sz w:val="20"/>
          <w:szCs w:val="20"/>
          <w:lang w:val="en-US"/>
        </w:rPr>
        <w:t>reatments</w:t>
      </w:r>
      <w:r>
        <w:rPr>
          <w:rFonts w:ascii="Arial" w:hAnsi="Arial" w:cs="Arial"/>
          <w:sz w:val="20"/>
          <w:szCs w:val="20"/>
          <w:lang w:val="en-US"/>
        </w:rPr>
        <w:t xml:space="preserve"> that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 showed the highest</w:t>
      </w:r>
      <w:r>
        <w:rPr>
          <w:rFonts w:ascii="Arial" w:hAnsi="Arial" w:cs="Arial"/>
          <w:sz w:val="20"/>
          <w:szCs w:val="20"/>
          <w:lang w:val="en-US"/>
        </w:rPr>
        <w:t xml:space="preserve"> increase in control efficiency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 also had the lowest dry matter at </w:t>
      </w:r>
      <w:r w:rsidR="00E631A5" w:rsidRPr="00E631A5">
        <w:rPr>
          <w:rFonts w:ascii="Arial" w:hAnsi="Arial" w:cs="Arial"/>
          <w:sz w:val="20"/>
          <w:szCs w:val="20"/>
          <w:lang w:val="en-US"/>
        </w:rPr>
        <w:lastRenderedPageBreak/>
        <w:t xml:space="preserve">59 DAT (Figure 2), but all treatments decreased </w:t>
      </w:r>
      <w:r>
        <w:rPr>
          <w:rFonts w:ascii="Arial" w:hAnsi="Arial" w:cs="Arial"/>
          <w:sz w:val="20"/>
          <w:szCs w:val="20"/>
          <w:lang w:val="en-US"/>
        </w:rPr>
        <w:t xml:space="preserve">ryegrass 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dry matter, compared to the </w:t>
      </w:r>
      <w:r>
        <w:rPr>
          <w:rFonts w:ascii="Arial" w:hAnsi="Arial" w:cs="Arial"/>
          <w:sz w:val="20"/>
          <w:szCs w:val="20"/>
          <w:lang w:val="en-US"/>
        </w:rPr>
        <w:t>check without herbicides (166 g)</w:t>
      </w:r>
      <w:r w:rsidR="00E631A5" w:rsidRPr="00E631A5">
        <w:rPr>
          <w:rFonts w:ascii="Arial" w:hAnsi="Arial" w:cs="Arial"/>
          <w:sz w:val="20"/>
          <w:szCs w:val="20"/>
          <w:lang w:val="en-US"/>
        </w:rPr>
        <w:t>. However, clodinafop alone showed the highest</w:t>
      </w:r>
      <w:r>
        <w:rPr>
          <w:rFonts w:ascii="Arial" w:hAnsi="Arial" w:cs="Arial"/>
          <w:sz w:val="20"/>
          <w:szCs w:val="20"/>
          <w:lang w:val="en-US"/>
        </w:rPr>
        <w:t xml:space="preserve"> ryegrass plants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 dry matter, followed by fluazifop-p-butyl and glufosinate, thus presenting</w:t>
      </w:r>
      <w:r>
        <w:rPr>
          <w:rFonts w:ascii="Arial" w:hAnsi="Arial" w:cs="Arial"/>
          <w:sz w:val="20"/>
          <w:szCs w:val="20"/>
          <w:lang w:val="en-US"/>
        </w:rPr>
        <w:t xml:space="preserve"> the lowest speciesgrowth </w:t>
      </w:r>
      <w:r w:rsidR="00E631A5" w:rsidRPr="00E631A5">
        <w:rPr>
          <w:rFonts w:ascii="Arial" w:hAnsi="Arial" w:cs="Arial"/>
          <w:sz w:val="20"/>
          <w:szCs w:val="20"/>
          <w:lang w:val="en-US"/>
        </w:rPr>
        <w:t>suppression.</w:t>
      </w:r>
    </w:p>
    <w:p w:rsidR="0031789D" w:rsidRPr="00E631A5" w:rsidRDefault="00FB4F68" w:rsidP="0031789D">
      <w:pPr>
        <w:spacing w:line="48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Glyphosate (</w:t>
      </w:r>
      <w:r w:rsidRPr="00FB4F68">
        <w:rPr>
          <w:rFonts w:ascii="Arial" w:hAnsi="Arial" w:cs="Arial"/>
          <w:sz w:val="20"/>
          <w:szCs w:val="20"/>
          <w:lang w:val="en-US"/>
        </w:rPr>
        <w:t>1440 e 2160 g e. a. ha</w:t>
      </w:r>
      <w:r w:rsidRPr="00FB4F68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E631A5" w:rsidRPr="00E631A5">
        <w:rPr>
          <w:rFonts w:ascii="Arial" w:hAnsi="Arial" w:cs="Arial"/>
          <w:sz w:val="20"/>
          <w:szCs w:val="20"/>
          <w:lang w:val="en-US"/>
        </w:rPr>
        <w:t>), cl</w:t>
      </w:r>
      <w:r w:rsidR="00152AD5">
        <w:rPr>
          <w:rFonts w:ascii="Arial" w:hAnsi="Arial" w:cs="Arial"/>
          <w:sz w:val="20"/>
          <w:szCs w:val="20"/>
          <w:lang w:val="en-US"/>
        </w:rPr>
        <w:t>ethodim, quizalofop-p-tefuril</w:t>
      </w:r>
      <w:r w:rsidR="00BA5CA2">
        <w:rPr>
          <w:rFonts w:ascii="Arial" w:hAnsi="Arial" w:cs="Arial"/>
          <w:sz w:val="20"/>
          <w:szCs w:val="20"/>
          <w:lang w:val="en-US"/>
        </w:rPr>
        <w:t xml:space="preserve"> and 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glyphosate </w:t>
      </w:r>
      <w:r w:rsidR="00152AD5">
        <w:rPr>
          <w:rFonts w:ascii="Arial" w:hAnsi="Arial" w:cs="Arial"/>
          <w:sz w:val="20"/>
          <w:szCs w:val="20"/>
          <w:lang w:val="en-US"/>
        </w:rPr>
        <w:t xml:space="preserve">associations </w:t>
      </w:r>
      <w:r w:rsidR="00E631A5" w:rsidRPr="00E631A5">
        <w:rPr>
          <w:rFonts w:ascii="Arial" w:hAnsi="Arial" w:cs="Arial"/>
          <w:sz w:val="20"/>
          <w:szCs w:val="20"/>
          <w:lang w:val="en-US"/>
        </w:rPr>
        <w:t>(</w:t>
      </w:r>
      <w:r w:rsidR="00152AD5" w:rsidRPr="00152AD5">
        <w:rPr>
          <w:rFonts w:ascii="Arial" w:hAnsi="Arial" w:cs="Arial"/>
          <w:sz w:val="20"/>
          <w:szCs w:val="20"/>
          <w:lang w:val="en-US"/>
        </w:rPr>
        <w:t>720 g e.a. ha</w:t>
      </w:r>
      <w:r w:rsidR="00152AD5" w:rsidRPr="00152AD5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152AD5">
        <w:rPr>
          <w:rFonts w:ascii="Arial" w:hAnsi="Arial" w:cs="Arial"/>
          <w:sz w:val="20"/>
          <w:szCs w:val="20"/>
          <w:lang w:val="en-US"/>
        </w:rPr>
        <w:t>) with ACCase inhibitors and paraquat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 had the largest dry matter</w:t>
      </w:r>
      <w:r w:rsidR="00152AD5">
        <w:rPr>
          <w:rFonts w:ascii="Arial" w:hAnsi="Arial" w:cs="Arial"/>
          <w:sz w:val="20"/>
          <w:szCs w:val="20"/>
          <w:lang w:val="en-US"/>
        </w:rPr>
        <w:t xml:space="preserve"> reductions</w:t>
      </w:r>
      <w:r w:rsidR="00E631A5" w:rsidRPr="00E631A5">
        <w:rPr>
          <w:rFonts w:ascii="Arial" w:hAnsi="Arial" w:cs="Arial"/>
          <w:sz w:val="20"/>
          <w:szCs w:val="20"/>
          <w:lang w:val="en-US"/>
        </w:rPr>
        <w:t>. On the other hand, clethodim</w:t>
      </w:r>
      <w:r w:rsidR="00BD1C1E">
        <w:rPr>
          <w:rFonts w:ascii="Arial" w:hAnsi="Arial" w:cs="Arial"/>
          <w:sz w:val="20"/>
          <w:szCs w:val="20"/>
          <w:lang w:val="en-US"/>
        </w:rPr>
        <w:t xml:space="preserve"> </w:t>
      </w:r>
      <w:r w:rsidR="003D0205">
        <w:rPr>
          <w:rFonts w:ascii="Arial" w:hAnsi="Arial" w:cs="Arial"/>
          <w:sz w:val="20"/>
          <w:szCs w:val="20"/>
          <w:lang w:val="en-US"/>
        </w:rPr>
        <w:t>and quizalofop-p-tefuril herbicides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 were indifferent to its associa</w:t>
      </w:r>
      <w:r w:rsidR="003D0205">
        <w:rPr>
          <w:rFonts w:ascii="Arial" w:hAnsi="Arial" w:cs="Arial"/>
          <w:sz w:val="20"/>
          <w:szCs w:val="20"/>
          <w:lang w:val="en-US"/>
        </w:rPr>
        <w:t>tion with glyphosate (</w:t>
      </w:r>
      <w:r w:rsidR="003D0205" w:rsidRPr="003D0205">
        <w:rPr>
          <w:rFonts w:ascii="Arial" w:hAnsi="Arial" w:cs="Arial"/>
          <w:sz w:val="20"/>
          <w:szCs w:val="20"/>
          <w:lang w:val="en-US"/>
        </w:rPr>
        <w:t>720 g e.a. ha</w:t>
      </w:r>
      <w:r w:rsidR="003D0205" w:rsidRPr="003D0205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3D0205">
        <w:rPr>
          <w:rFonts w:ascii="Arial" w:hAnsi="Arial" w:cs="Arial"/>
          <w:sz w:val="20"/>
          <w:szCs w:val="20"/>
          <w:lang w:val="en-US"/>
        </w:rPr>
        <w:t>),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 being s</w:t>
      </w:r>
      <w:r w:rsidR="00BD1C1E">
        <w:rPr>
          <w:rFonts w:ascii="Arial" w:hAnsi="Arial" w:cs="Arial"/>
          <w:sz w:val="20"/>
          <w:szCs w:val="20"/>
          <w:lang w:val="en-US"/>
        </w:rPr>
        <w:t xml:space="preserve">tatistically equal, </w:t>
      </w:r>
      <w:r w:rsidR="003D0205">
        <w:rPr>
          <w:rFonts w:ascii="Arial" w:hAnsi="Arial" w:cs="Arial"/>
          <w:sz w:val="20"/>
          <w:szCs w:val="20"/>
          <w:lang w:val="en-US"/>
        </w:rPr>
        <w:t>dry matter</w:t>
      </w:r>
      <w:r w:rsidR="00E631A5" w:rsidRPr="00E631A5">
        <w:rPr>
          <w:rFonts w:ascii="Arial" w:hAnsi="Arial" w:cs="Arial"/>
          <w:sz w:val="20"/>
          <w:szCs w:val="20"/>
          <w:lang w:val="en-US"/>
        </w:rPr>
        <w:t xml:space="preserve"> reduction was similar in both conditions of application, individually or in association.</w:t>
      </w:r>
    </w:p>
    <w:p w:rsidR="0031789D" w:rsidRPr="00E631A5" w:rsidRDefault="008777B4" w:rsidP="00871231">
      <w:pPr>
        <w:spacing w:line="48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3592830</wp:posOffset>
                </wp:positionV>
                <wp:extent cx="542925" cy="311785"/>
                <wp:effectExtent l="0" t="0" r="9525" b="0"/>
                <wp:wrapNone/>
                <wp:docPr id="2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231" w:rsidRPr="00871231" w:rsidRDefault="00871231" w:rsidP="008712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1231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871231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94.8pt;margin-top:282.9pt;width:42.75pt;height:2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" stroked="f">
                <v:textbox>
                  <w:txbxContent>
                    <w:p w:rsidR="00871231" w:rsidRPr="00871231" w:rsidRDefault="00871231" w:rsidP="00871231">
                      <w:pPr>
                        <w:rPr>
                          <w:rFonts w:ascii="Arial" w:hAnsi="Arial" w:cs="Arial"/>
                        </w:rPr>
                      </w:pPr>
                      <w:r w:rsidRPr="00871231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b</w:t>
                      </w:r>
                      <w:r w:rsidRPr="00871231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158750</wp:posOffset>
                </wp:positionV>
                <wp:extent cx="542925" cy="311785"/>
                <wp:effectExtent l="0" t="0" r="9525" b="0"/>
                <wp:wrapNone/>
                <wp:docPr id="1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918" w:rsidRPr="00871231" w:rsidRDefault="00BE6918" w:rsidP="009818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1231">
                              <w:rPr>
                                <w:rFonts w:ascii="Arial" w:hAnsi="Arial" w:cs="Arial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4.8pt;margin-top:12.5pt;width:42.75pt;height:2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" stroked="f">
                <v:textbox>
                  <w:txbxContent>
                    <w:p w:rsidR="00BE6918" w:rsidRPr="00871231" w:rsidRDefault="00BE6918" w:rsidP="00981824">
                      <w:pPr>
                        <w:rPr>
                          <w:rFonts w:ascii="Arial" w:hAnsi="Arial" w:cs="Arial"/>
                        </w:rPr>
                      </w:pPr>
                      <w:r w:rsidRPr="00871231">
                        <w:rPr>
                          <w:rFonts w:ascii="Arial" w:hAnsi="Arial" w:cs="Arial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D472F2" w:rsidRPr="00871231">
        <w:rPr>
          <w:noProof/>
          <w:lang w:eastAsia="pt-BR"/>
        </w:rPr>
        <w:drawing>
          <wp:inline distT="0" distB="0" distL="0" distR="0">
            <wp:extent cx="5296535" cy="6642100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896" w:rsidRPr="003D0205" w:rsidRDefault="003D0205" w:rsidP="00871231">
      <w:pPr>
        <w:spacing w:line="48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3D0205">
        <w:rPr>
          <w:rFonts w:ascii="Arial" w:hAnsi="Arial" w:cs="Arial"/>
          <w:sz w:val="18"/>
          <w:szCs w:val="18"/>
          <w:lang w:val="en-US"/>
        </w:rPr>
        <w:lastRenderedPageBreak/>
        <w:t>To herbicides, Nimbus mineral oil (500 mL ha</w:t>
      </w:r>
      <w:r w:rsidRPr="003D0205">
        <w:rPr>
          <w:rFonts w:ascii="Arial" w:hAnsi="Arial" w:cs="Arial"/>
          <w:sz w:val="18"/>
          <w:szCs w:val="18"/>
          <w:vertAlign w:val="superscript"/>
          <w:lang w:val="en-US"/>
        </w:rPr>
        <w:t>-1</w:t>
      </w:r>
      <w:r w:rsidRPr="003D0205">
        <w:rPr>
          <w:rFonts w:ascii="Arial" w:hAnsi="Arial" w:cs="Arial"/>
          <w:sz w:val="18"/>
          <w:szCs w:val="18"/>
          <w:lang w:val="en-US"/>
        </w:rPr>
        <w:t>) was added</w:t>
      </w:r>
      <w:r>
        <w:rPr>
          <w:rFonts w:ascii="Arial" w:hAnsi="Arial" w:cs="Arial"/>
          <w:sz w:val="18"/>
          <w:szCs w:val="18"/>
          <w:lang w:val="en-US"/>
        </w:rPr>
        <w:t xml:space="preserve">; </w:t>
      </w:r>
      <w:r w:rsidRPr="003D0205">
        <w:rPr>
          <w:rFonts w:ascii="Arial" w:hAnsi="Arial" w:cs="Arial"/>
          <w:sz w:val="18"/>
          <w:szCs w:val="18"/>
          <w:lang w:val="en-US"/>
        </w:rPr>
        <w:t>Means followed by the same lette</w:t>
      </w:r>
      <w:r w:rsidR="00D51D59">
        <w:rPr>
          <w:rFonts w:ascii="Arial" w:hAnsi="Arial" w:cs="Arial"/>
          <w:sz w:val="18"/>
          <w:szCs w:val="18"/>
          <w:lang w:val="en-US"/>
        </w:rPr>
        <w:t>r in the column do not differ</w:t>
      </w:r>
      <w:r w:rsidRPr="00AA2376">
        <w:rPr>
          <w:rFonts w:ascii="Arial" w:hAnsi="Arial" w:cs="Arial"/>
          <w:sz w:val="18"/>
          <w:szCs w:val="18"/>
          <w:lang w:val="en-US"/>
        </w:rPr>
        <w:t xml:space="preserve"> among them by</w:t>
      </w:r>
      <w:r w:rsidRPr="003D0205">
        <w:rPr>
          <w:rFonts w:ascii="Arial" w:hAnsi="Arial" w:cs="Arial"/>
          <w:sz w:val="18"/>
          <w:szCs w:val="18"/>
          <w:lang w:val="en-US"/>
        </w:rPr>
        <w:t xml:space="preserve"> Scott-Knott test (p = 0.05). Statistical analysis was performed with data converted to</w:t>
      </w:r>
      <w:r w:rsidRPr="00AA2376">
        <w:rPr>
          <w:rFonts w:ascii="Arial" w:hAnsi="Arial" w:cs="Arial"/>
          <w:sz w:val="18"/>
          <w:szCs w:val="18"/>
          <w:lang w:val="en-US"/>
        </w:rPr>
        <w:t xml:space="preserve"> arc</w:t>
      </w:r>
      <w:r w:rsidRPr="003D0205">
        <w:rPr>
          <w:rFonts w:ascii="Arial" w:hAnsi="Arial" w:cs="Arial"/>
          <w:sz w:val="18"/>
          <w:szCs w:val="18"/>
          <w:lang w:val="en-US"/>
        </w:rPr>
        <w:t>sen √x/100.</w:t>
      </w:r>
      <w:r w:rsidR="00227005" w:rsidRPr="00D472F2">
        <w:rPr>
          <w:rFonts w:ascii="Arial" w:hAnsi="Arial" w:cs="Arial"/>
          <w:sz w:val="18"/>
          <w:szCs w:val="18"/>
          <w:lang w:val="en-US"/>
        </w:rPr>
        <w:t>Gly: glyphosate</w:t>
      </w:r>
      <w:r w:rsidR="00461F51" w:rsidRPr="00D472F2">
        <w:rPr>
          <w:rFonts w:ascii="Arial" w:hAnsi="Arial" w:cs="Arial"/>
          <w:sz w:val="18"/>
          <w:szCs w:val="18"/>
          <w:lang w:val="en-US"/>
        </w:rPr>
        <w:t xml:space="preserve">; </w:t>
      </w:r>
      <w:r w:rsidR="009B6F80" w:rsidRPr="00D472F2">
        <w:rPr>
          <w:rFonts w:ascii="Arial" w:hAnsi="Arial" w:cs="Arial"/>
          <w:sz w:val="18"/>
          <w:szCs w:val="18"/>
          <w:lang w:val="en-US"/>
        </w:rPr>
        <w:t xml:space="preserve">Flu: </w:t>
      </w:r>
      <w:r w:rsidR="00227005" w:rsidRPr="00D472F2">
        <w:rPr>
          <w:rFonts w:ascii="Arial" w:hAnsi="Arial" w:cs="Arial"/>
          <w:sz w:val="18"/>
          <w:szCs w:val="18"/>
          <w:lang w:val="en-US"/>
        </w:rPr>
        <w:t>fluazifop</w:t>
      </w:r>
      <w:r w:rsidR="009B6F80" w:rsidRPr="00D472F2">
        <w:rPr>
          <w:rFonts w:ascii="Arial" w:hAnsi="Arial" w:cs="Arial"/>
          <w:sz w:val="18"/>
          <w:szCs w:val="18"/>
          <w:lang w:val="en-US"/>
        </w:rPr>
        <w:t>; Clo: clodinafop; Qui: quizalofop; Cle: clet</w:t>
      </w:r>
      <w:r w:rsidR="00227005" w:rsidRPr="00D472F2">
        <w:rPr>
          <w:rFonts w:ascii="Arial" w:hAnsi="Arial" w:cs="Arial"/>
          <w:sz w:val="18"/>
          <w:szCs w:val="18"/>
          <w:lang w:val="en-US"/>
        </w:rPr>
        <w:t>h</w:t>
      </w:r>
      <w:r w:rsidR="009B6F80" w:rsidRPr="00D472F2">
        <w:rPr>
          <w:rFonts w:ascii="Arial" w:hAnsi="Arial" w:cs="Arial"/>
          <w:sz w:val="18"/>
          <w:szCs w:val="18"/>
          <w:lang w:val="en-US"/>
        </w:rPr>
        <w:t>odim</w:t>
      </w:r>
      <w:r w:rsidR="00461F51" w:rsidRPr="00D472F2">
        <w:rPr>
          <w:rFonts w:ascii="Arial" w:hAnsi="Arial" w:cs="Arial"/>
          <w:sz w:val="18"/>
          <w:szCs w:val="18"/>
          <w:lang w:val="en-US"/>
        </w:rPr>
        <w:t>.</w:t>
      </w:r>
    </w:p>
    <w:p w:rsidR="00C13896" w:rsidRPr="000501C7" w:rsidRDefault="009B6F80" w:rsidP="00C1389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501C7">
        <w:rPr>
          <w:rFonts w:ascii="Arial" w:hAnsi="Arial" w:cs="Arial"/>
          <w:sz w:val="20"/>
          <w:szCs w:val="20"/>
          <w:lang w:val="en-US"/>
        </w:rPr>
        <w:t>.</w:t>
      </w:r>
    </w:p>
    <w:p w:rsidR="00BC28E8" w:rsidRPr="000501C7" w:rsidRDefault="008777B4" w:rsidP="00BC28E8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-7684135</wp:posOffset>
                </wp:positionH>
                <wp:positionV relativeFrom="paragraph">
                  <wp:posOffset>-685165</wp:posOffset>
                </wp:positionV>
                <wp:extent cx="7512685" cy="26670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6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918" w:rsidRPr="000A3C68" w:rsidRDefault="00BE6918" w:rsidP="00C1389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A3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Tabela 1. Eficiência do controle de azevém aos 7, 14, 21, 28, 42 e 59 DAT.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UNICRUZ, </w:t>
                            </w:r>
                            <w:r w:rsidRPr="000A3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Cruz Alta, 2010.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left:0;text-align:left;margin-left:-605.05pt;margin-top:-53.95pt;width:591.55pt;height:2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" filled="f" stroked="f">
                <v:textbox style="mso-fit-shape-to-text:t">
                  <w:txbxContent>
                    <w:p w:rsidR="00BE6918" w:rsidRPr="000A3C68" w:rsidRDefault="00BE6918" w:rsidP="00C1389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A3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Tabela 1. Eficiência do controle de azevém aos 7, 14, 21, 28, 42 e 59 DAT.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UNICRUZ, </w:t>
                      </w:r>
                      <w:r w:rsidRPr="000A3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Cruz Alta, 2010.</w:t>
                      </w:r>
                    </w:p>
                  </w:txbxContent>
                </v:textbox>
              </v:shape>
            </w:pict>
          </mc:Fallback>
        </mc:AlternateContent>
      </w:r>
      <w:r w:rsidR="00E631A5" w:rsidRPr="00E631A5">
        <w:rPr>
          <w:rFonts w:ascii="Arial" w:hAnsi="Arial" w:cs="Arial"/>
          <w:b/>
          <w:noProof/>
          <w:sz w:val="20"/>
          <w:szCs w:val="20"/>
          <w:lang w:val="en-US"/>
        </w:rPr>
        <w:t>Figure</w:t>
      </w:r>
      <w:r w:rsidR="00C13896" w:rsidRPr="00E631A5">
        <w:rPr>
          <w:rFonts w:ascii="Arial" w:hAnsi="Arial" w:cs="Arial"/>
          <w:b/>
          <w:noProof/>
          <w:sz w:val="20"/>
          <w:szCs w:val="20"/>
          <w:lang w:val="en-US"/>
        </w:rPr>
        <w:t xml:space="preserve"> 1.</w:t>
      </w:r>
      <w:r w:rsidR="00BC28E8" w:rsidRPr="00E631A5">
        <w:rPr>
          <w:rFonts w:ascii="Arial" w:hAnsi="Arial" w:cs="Arial"/>
          <w:sz w:val="20"/>
          <w:szCs w:val="20"/>
          <w:lang w:val="en-US"/>
        </w:rPr>
        <w:t>Efficiency increase of ryegrass control (</w:t>
      </w:r>
      <w:r w:rsidR="00BC28E8" w:rsidRPr="00493983">
        <w:rPr>
          <w:rFonts w:ascii="Arial" w:hAnsi="Arial" w:cs="Arial"/>
          <w:i/>
          <w:sz w:val="20"/>
          <w:szCs w:val="20"/>
          <w:lang w:val="en-US"/>
        </w:rPr>
        <w:t>Lolium</w:t>
      </w:r>
      <w:r w:rsidR="009D4800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BC28E8" w:rsidRPr="00493983">
        <w:rPr>
          <w:rFonts w:ascii="Arial" w:hAnsi="Arial" w:cs="Arial"/>
          <w:i/>
          <w:sz w:val="20"/>
          <w:szCs w:val="20"/>
          <w:lang w:val="en-US"/>
        </w:rPr>
        <w:t>multiflorum</w:t>
      </w:r>
      <w:r w:rsidR="00BC28E8" w:rsidRPr="00E631A5">
        <w:rPr>
          <w:rFonts w:ascii="Arial" w:hAnsi="Arial" w:cs="Arial"/>
          <w:sz w:val="20"/>
          <w:szCs w:val="20"/>
          <w:lang w:val="en-US"/>
        </w:rPr>
        <w:t xml:space="preserve">) at 42 days after the treatments application (DAT), mean values dose 720g </w:t>
      </w:r>
      <w:r w:rsidR="009D4800">
        <w:rPr>
          <w:rFonts w:ascii="Arial" w:hAnsi="Arial" w:cs="Arial"/>
          <w:sz w:val="20"/>
          <w:szCs w:val="20"/>
          <w:lang w:val="en-US"/>
        </w:rPr>
        <w:t xml:space="preserve">e.a. </w:t>
      </w:r>
      <w:r w:rsidR="00BC28E8" w:rsidRPr="00E631A5">
        <w:rPr>
          <w:rFonts w:ascii="Arial" w:hAnsi="Arial" w:cs="Arial"/>
          <w:sz w:val="20"/>
          <w:szCs w:val="20"/>
          <w:lang w:val="en-US"/>
        </w:rPr>
        <w:t>ha</w:t>
      </w:r>
      <w:r w:rsidR="00BC28E8" w:rsidRPr="00E631A5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BC28E8" w:rsidRPr="00E631A5">
        <w:rPr>
          <w:rFonts w:ascii="Arial" w:hAnsi="Arial" w:cs="Arial"/>
          <w:sz w:val="20"/>
          <w:szCs w:val="20"/>
          <w:lang w:val="en-US"/>
        </w:rPr>
        <w:t>(a); dose 1440 g a.e ha</w:t>
      </w:r>
      <w:r w:rsidR="00BC28E8" w:rsidRPr="00E631A5">
        <w:rPr>
          <w:rFonts w:ascii="Arial" w:hAnsi="Arial" w:cs="Arial"/>
          <w:sz w:val="20"/>
          <w:szCs w:val="20"/>
          <w:vertAlign w:val="superscript"/>
          <w:lang w:val="en-US"/>
        </w:rPr>
        <w:t>-1</w:t>
      </w:r>
      <w:r w:rsidR="00BC28E8" w:rsidRPr="00E631A5">
        <w:rPr>
          <w:rFonts w:ascii="Arial" w:hAnsi="Arial" w:cs="Arial"/>
          <w:sz w:val="20"/>
          <w:szCs w:val="20"/>
          <w:lang w:val="en-US"/>
        </w:rPr>
        <w:t xml:space="preserve">(b). </w:t>
      </w:r>
      <w:r w:rsidR="00BC28E8" w:rsidRPr="000501C7">
        <w:rPr>
          <w:rFonts w:ascii="Arial" w:hAnsi="Arial" w:cs="Arial"/>
          <w:sz w:val="20"/>
          <w:szCs w:val="20"/>
          <w:lang w:val="en-US"/>
        </w:rPr>
        <w:t>UNICRUZ, Cruz Alta/RS 2010.</w:t>
      </w:r>
    </w:p>
    <w:p w:rsidR="00050971" w:rsidRPr="000501C7" w:rsidRDefault="00050971" w:rsidP="00BC28E8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460DC1" w:rsidRPr="00CE5D8F" w:rsidRDefault="00CE5D8F" w:rsidP="00460DC1">
      <w:pPr>
        <w:spacing w:line="480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CE5D8F">
        <w:rPr>
          <w:rFonts w:ascii="Arial" w:hAnsi="Arial" w:cs="Arial"/>
          <w:sz w:val="20"/>
          <w:szCs w:val="20"/>
          <w:lang w:val="en-US"/>
        </w:rPr>
        <w:t>For practical purposes, the use of other herbicides</w:t>
      </w:r>
      <w:r w:rsidR="00493983">
        <w:rPr>
          <w:rFonts w:ascii="Arial" w:hAnsi="Arial" w:cs="Arial"/>
          <w:sz w:val="20"/>
          <w:szCs w:val="20"/>
          <w:lang w:val="en-US"/>
        </w:rPr>
        <w:t xml:space="preserve"> besides</w:t>
      </w:r>
      <w:r w:rsidRPr="00CE5D8F">
        <w:rPr>
          <w:rFonts w:ascii="Arial" w:hAnsi="Arial" w:cs="Arial"/>
          <w:sz w:val="20"/>
          <w:szCs w:val="20"/>
          <w:lang w:val="en-US"/>
        </w:rPr>
        <w:t xml:space="preserve"> glyphosate, alone or in combination, should be an im</w:t>
      </w:r>
      <w:r w:rsidR="00DF16EC">
        <w:rPr>
          <w:rFonts w:ascii="Arial" w:hAnsi="Arial" w:cs="Arial"/>
          <w:sz w:val="20"/>
          <w:szCs w:val="20"/>
          <w:lang w:val="en-US"/>
        </w:rPr>
        <w:t xml:space="preserve">portant tool for </w:t>
      </w:r>
      <w:r w:rsidR="00493983">
        <w:rPr>
          <w:rFonts w:ascii="Arial" w:hAnsi="Arial" w:cs="Arial"/>
          <w:sz w:val="20"/>
          <w:szCs w:val="20"/>
          <w:lang w:val="en-US"/>
        </w:rPr>
        <w:t>mechanism</w:t>
      </w:r>
      <w:r w:rsidR="00DF16EC">
        <w:rPr>
          <w:rFonts w:ascii="Arial" w:hAnsi="Arial" w:cs="Arial"/>
          <w:sz w:val="20"/>
          <w:szCs w:val="20"/>
          <w:lang w:val="en-US"/>
        </w:rPr>
        <w:t xml:space="preserve"> of action</w:t>
      </w:r>
      <w:r w:rsidR="00493983">
        <w:rPr>
          <w:rFonts w:ascii="Arial" w:hAnsi="Arial" w:cs="Arial"/>
          <w:sz w:val="20"/>
          <w:szCs w:val="20"/>
          <w:lang w:val="en-US"/>
        </w:rPr>
        <w:t xml:space="preserve"> rotation in the field, besides</w:t>
      </w:r>
      <w:r w:rsidRPr="00CE5D8F">
        <w:rPr>
          <w:rFonts w:ascii="Arial" w:hAnsi="Arial" w:cs="Arial"/>
          <w:sz w:val="20"/>
          <w:szCs w:val="20"/>
          <w:lang w:val="en-US"/>
        </w:rPr>
        <w:t xml:space="preserve"> prevent</w:t>
      </w:r>
      <w:r w:rsidR="00493983">
        <w:rPr>
          <w:rFonts w:ascii="Arial" w:hAnsi="Arial" w:cs="Arial"/>
          <w:sz w:val="20"/>
          <w:szCs w:val="20"/>
          <w:lang w:val="en-US"/>
        </w:rPr>
        <w:t>ing</w:t>
      </w:r>
      <w:r w:rsidRPr="00CE5D8F">
        <w:rPr>
          <w:rFonts w:ascii="Arial" w:hAnsi="Arial" w:cs="Arial"/>
          <w:sz w:val="20"/>
          <w:szCs w:val="20"/>
          <w:lang w:val="en-US"/>
        </w:rPr>
        <w:t xml:space="preserve"> resistance</w:t>
      </w:r>
      <w:r w:rsidR="00493983">
        <w:rPr>
          <w:rFonts w:ascii="Arial" w:hAnsi="Arial" w:cs="Arial"/>
          <w:sz w:val="20"/>
          <w:szCs w:val="20"/>
          <w:lang w:val="en-US"/>
        </w:rPr>
        <w:t xml:space="preserve"> to a particular molecule, as </w:t>
      </w:r>
      <w:r w:rsidR="00FE61CD" w:rsidRPr="00CE5D8F">
        <w:rPr>
          <w:rFonts w:ascii="Arial" w:hAnsi="Arial" w:cs="Arial"/>
          <w:sz w:val="20"/>
          <w:szCs w:val="20"/>
          <w:lang w:val="en-US"/>
        </w:rPr>
        <w:t>susceptible and resistant genotypes</w:t>
      </w:r>
      <w:r w:rsidR="00FE61CD">
        <w:rPr>
          <w:rFonts w:ascii="Arial" w:hAnsi="Arial" w:cs="Arial"/>
          <w:sz w:val="20"/>
          <w:szCs w:val="20"/>
          <w:lang w:val="en-US"/>
        </w:rPr>
        <w:t xml:space="preserve"> presence</w:t>
      </w:r>
      <w:r w:rsidR="00493983">
        <w:rPr>
          <w:rFonts w:ascii="Arial" w:hAnsi="Arial" w:cs="Arial"/>
          <w:sz w:val="20"/>
          <w:szCs w:val="20"/>
          <w:lang w:val="en-US"/>
        </w:rPr>
        <w:t xml:space="preserve"> is</w:t>
      </w:r>
      <w:r w:rsidRPr="00CE5D8F">
        <w:rPr>
          <w:rFonts w:ascii="Arial" w:hAnsi="Arial" w:cs="Arial"/>
          <w:sz w:val="20"/>
          <w:szCs w:val="20"/>
          <w:lang w:val="en-US"/>
        </w:rPr>
        <w:t xml:space="preserve"> common in many</w:t>
      </w:r>
      <w:r w:rsidR="00493983">
        <w:rPr>
          <w:rFonts w:ascii="Arial" w:hAnsi="Arial" w:cs="Arial"/>
          <w:sz w:val="20"/>
          <w:szCs w:val="20"/>
          <w:lang w:val="en-US"/>
        </w:rPr>
        <w:t xml:space="preserve"> areas, and with </w:t>
      </w:r>
      <w:r w:rsidRPr="00CE5D8F">
        <w:rPr>
          <w:rFonts w:ascii="Arial" w:hAnsi="Arial" w:cs="Arial"/>
          <w:sz w:val="20"/>
          <w:szCs w:val="20"/>
          <w:lang w:val="en-US"/>
        </w:rPr>
        <w:t>herbicide</w:t>
      </w:r>
      <w:r w:rsidR="00493983">
        <w:rPr>
          <w:rFonts w:ascii="Arial" w:hAnsi="Arial" w:cs="Arial"/>
          <w:sz w:val="20"/>
          <w:szCs w:val="20"/>
          <w:lang w:val="en-US"/>
        </w:rPr>
        <w:t xml:space="preserve"> use only</w:t>
      </w:r>
      <w:r w:rsidRPr="00CE5D8F">
        <w:rPr>
          <w:rFonts w:ascii="Arial" w:hAnsi="Arial" w:cs="Arial"/>
          <w:sz w:val="20"/>
          <w:szCs w:val="20"/>
          <w:lang w:val="en-US"/>
        </w:rPr>
        <w:t>,</w:t>
      </w:r>
      <w:r w:rsidR="00FE61CD">
        <w:rPr>
          <w:rFonts w:ascii="Arial" w:hAnsi="Arial" w:cs="Arial"/>
          <w:sz w:val="20"/>
          <w:szCs w:val="20"/>
          <w:lang w:val="en-US"/>
        </w:rPr>
        <w:t xml:space="preserve"> there would </w:t>
      </w:r>
      <w:r w:rsidR="00CE4E88">
        <w:rPr>
          <w:rFonts w:ascii="Arial" w:hAnsi="Arial" w:cs="Arial"/>
          <w:sz w:val="20"/>
          <w:szCs w:val="20"/>
          <w:lang w:val="en-US"/>
        </w:rPr>
        <w:t>not be</w:t>
      </w:r>
      <w:r w:rsidRPr="00CE5D8F">
        <w:rPr>
          <w:rFonts w:ascii="Arial" w:hAnsi="Arial" w:cs="Arial"/>
          <w:sz w:val="20"/>
          <w:szCs w:val="20"/>
          <w:lang w:val="en-US"/>
        </w:rPr>
        <w:t xml:space="preserve"> efficient control.</w:t>
      </w:r>
    </w:p>
    <w:p w:rsidR="00460DC1" w:rsidRPr="00CE5D8F" w:rsidRDefault="008D5578" w:rsidP="00460DC1">
      <w:pPr>
        <w:spacing w:line="480" w:lineRule="auto"/>
        <w:ind w:firstLine="709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="00CE5D8F" w:rsidRPr="00CE5D8F">
        <w:rPr>
          <w:rFonts w:ascii="Arial" w:hAnsi="Arial" w:cs="Arial"/>
          <w:sz w:val="20"/>
          <w:szCs w:val="20"/>
          <w:lang w:val="en-US"/>
        </w:rPr>
        <w:t>s these biotypes have similar morphology, resistant</w:t>
      </w:r>
      <w:r>
        <w:rPr>
          <w:rFonts w:ascii="Arial" w:hAnsi="Arial" w:cs="Arial"/>
          <w:sz w:val="20"/>
          <w:szCs w:val="20"/>
          <w:lang w:val="en-US"/>
        </w:rPr>
        <w:t xml:space="preserve"> identificationwill </w:t>
      </w:r>
      <w:r w:rsidR="00CE5D8F" w:rsidRPr="00CE5D8F">
        <w:rPr>
          <w:rFonts w:ascii="Arial" w:hAnsi="Arial" w:cs="Arial"/>
          <w:sz w:val="20"/>
          <w:szCs w:val="20"/>
          <w:lang w:val="en-US"/>
        </w:rPr>
        <w:t>only occur with the correct application of glyphosate in the area, that is, considering weather</w:t>
      </w:r>
      <w:r w:rsidR="00D80D39">
        <w:rPr>
          <w:rFonts w:ascii="Arial" w:hAnsi="Arial" w:cs="Arial"/>
          <w:sz w:val="20"/>
          <w:szCs w:val="20"/>
          <w:lang w:val="en-US"/>
        </w:rPr>
        <w:t xml:space="preserve"> conditions, dose, spray volume,</w:t>
      </w:r>
      <w:r w:rsidR="00CE5D8F" w:rsidRPr="00CE5D8F">
        <w:rPr>
          <w:rFonts w:ascii="Arial" w:hAnsi="Arial" w:cs="Arial"/>
          <w:sz w:val="20"/>
          <w:szCs w:val="20"/>
          <w:lang w:val="en-US"/>
        </w:rPr>
        <w:t xml:space="preserve"> among others, so that resistant biotypes</w:t>
      </w:r>
      <w:r>
        <w:rPr>
          <w:rFonts w:ascii="Arial" w:hAnsi="Arial" w:cs="Arial"/>
          <w:sz w:val="20"/>
          <w:szCs w:val="20"/>
          <w:lang w:val="en-US"/>
        </w:rPr>
        <w:t>can actually be identified</w:t>
      </w:r>
      <w:r w:rsidR="00CE5D8F" w:rsidRPr="00CE5D8F">
        <w:rPr>
          <w:rFonts w:ascii="Arial" w:hAnsi="Arial" w:cs="Arial"/>
          <w:sz w:val="20"/>
          <w:szCs w:val="20"/>
          <w:lang w:val="en-US"/>
        </w:rPr>
        <w:t>. Acco</w:t>
      </w:r>
      <w:r w:rsidR="003848C4">
        <w:rPr>
          <w:rFonts w:ascii="Arial" w:hAnsi="Arial" w:cs="Arial"/>
          <w:sz w:val="20"/>
          <w:szCs w:val="20"/>
          <w:lang w:val="en-US"/>
        </w:rPr>
        <w:t>rding</w:t>
      </w:r>
      <w:r w:rsidR="00D80D39">
        <w:rPr>
          <w:rFonts w:ascii="Arial" w:hAnsi="Arial" w:cs="Arial"/>
          <w:sz w:val="20"/>
          <w:szCs w:val="20"/>
          <w:lang w:val="en-US"/>
        </w:rPr>
        <w:t xml:space="preserve"> to</w:t>
      </w:r>
      <w:r w:rsidR="003848C4">
        <w:rPr>
          <w:rFonts w:ascii="Arial" w:hAnsi="Arial" w:cs="Arial"/>
          <w:sz w:val="20"/>
          <w:szCs w:val="20"/>
          <w:lang w:val="en-US"/>
        </w:rPr>
        <w:t xml:space="preserve"> GALVAN et al. (2011), while working with comparison evaluationsof the resistant ryegrasssusceptible to glyphosate, </w:t>
      </w:r>
      <w:r w:rsidR="00D80D39">
        <w:rPr>
          <w:rFonts w:ascii="Arial" w:hAnsi="Arial" w:cs="Arial"/>
          <w:sz w:val="20"/>
          <w:szCs w:val="20"/>
          <w:lang w:val="en-US"/>
        </w:rPr>
        <w:t xml:space="preserve">it was </w:t>
      </w:r>
      <w:r w:rsidR="003848C4">
        <w:rPr>
          <w:rFonts w:ascii="Arial" w:hAnsi="Arial" w:cs="Arial"/>
          <w:sz w:val="20"/>
          <w:szCs w:val="20"/>
          <w:lang w:val="en-US"/>
        </w:rPr>
        <w:t>observed that it is not possible to</w:t>
      </w:r>
      <w:r w:rsidR="00CE5D8F" w:rsidRPr="00CE5D8F">
        <w:rPr>
          <w:rFonts w:ascii="Arial" w:hAnsi="Arial" w:cs="Arial"/>
          <w:sz w:val="20"/>
          <w:szCs w:val="20"/>
          <w:lang w:val="en-US"/>
        </w:rPr>
        <w:t xml:space="preserve"> disti</w:t>
      </w:r>
      <w:r w:rsidR="00D80D39">
        <w:rPr>
          <w:rFonts w:ascii="Arial" w:hAnsi="Arial" w:cs="Arial"/>
          <w:sz w:val="20"/>
          <w:szCs w:val="20"/>
          <w:lang w:val="en-US"/>
        </w:rPr>
        <w:t>nguish it</w:t>
      </w:r>
      <w:r w:rsidR="003848C4">
        <w:rPr>
          <w:rFonts w:ascii="Arial" w:hAnsi="Arial" w:cs="Arial"/>
          <w:sz w:val="20"/>
          <w:szCs w:val="20"/>
          <w:lang w:val="en-US"/>
        </w:rPr>
        <w:t xml:space="preserve"> morphologically, although phenology was</w:t>
      </w:r>
      <w:r w:rsidR="00CE5D8F" w:rsidRPr="00CE5D8F">
        <w:rPr>
          <w:rFonts w:ascii="Arial" w:hAnsi="Arial" w:cs="Arial"/>
          <w:sz w:val="20"/>
          <w:szCs w:val="20"/>
          <w:lang w:val="en-US"/>
        </w:rPr>
        <w:t xml:space="preserve"> differentiated</w:t>
      </w:r>
      <w:r w:rsidR="003848C4">
        <w:rPr>
          <w:rFonts w:ascii="Arial" w:hAnsi="Arial" w:cs="Arial"/>
          <w:sz w:val="20"/>
          <w:szCs w:val="20"/>
          <w:lang w:val="en-US"/>
        </w:rPr>
        <w:t>,</w:t>
      </w:r>
      <w:r w:rsidR="00CE5D8F" w:rsidRPr="00CE5D8F">
        <w:rPr>
          <w:rFonts w:ascii="Arial" w:hAnsi="Arial" w:cs="Arial"/>
          <w:sz w:val="20"/>
          <w:szCs w:val="20"/>
          <w:lang w:val="en-US"/>
        </w:rPr>
        <w:t xml:space="preserve"> because the susceptible biot</w:t>
      </w:r>
      <w:r w:rsidR="003848C4">
        <w:rPr>
          <w:rFonts w:ascii="Arial" w:hAnsi="Arial" w:cs="Arial"/>
          <w:sz w:val="20"/>
          <w:szCs w:val="20"/>
          <w:lang w:val="en-US"/>
        </w:rPr>
        <w:t>ype showed up earlier than the resistant</w:t>
      </w:r>
      <w:r w:rsidR="00CE5D8F" w:rsidRPr="00CE5D8F">
        <w:rPr>
          <w:rFonts w:ascii="Arial" w:hAnsi="Arial" w:cs="Arial"/>
          <w:sz w:val="20"/>
          <w:szCs w:val="20"/>
          <w:lang w:val="en-US"/>
        </w:rPr>
        <w:t>. Thus, the initial control of all biotypes</w:t>
      </w:r>
      <w:r w:rsidR="003848C4">
        <w:rPr>
          <w:rFonts w:ascii="Arial" w:hAnsi="Arial" w:cs="Arial"/>
          <w:sz w:val="20"/>
          <w:szCs w:val="20"/>
          <w:lang w:val="en-US"/>
        </w:rPr>
        <w:t xml:space="preserve"> is very important </w:t>
      </w:r>
      <w:r w:rsidR="00CE5D8F" w:rsidRPr="00CE5D8F">
        <w:rPr>
          <w:rFonts w:ascii="Arial" w:hAnsi="Arial" w:cs="Arial"/>
          <w:sz w:val="20"/>
          <w:szCs w:val="20"/>
          <w:lang w:val="en-US"/>
        </w:rPr>
        <w:t>as being easier controlled in the early stages,</w:t>
      </w:r>
      <w:r w:rsidR="003848C4">
        <w:rPr>
          <w:rFonts w:ascii="Arial" w:hAnsi="Arial" w:cs="Arial"/>
          <w:sz w:val="20"/>
          <w:szCs w:val="20"/>
          <w:lang w:val="en-US"/>
        </w:rPr>
        <w:t xml:space="preserve"> so it will</w:t>
      </w:r>
      <w:r w:rsidR="00CE5D8F" w:rsidRPr="00CE5D8F">
        <w:rPr>
          <w:rFonts w:ascii="Arial" w:hAnsi="Arial" w:cs="Arial"/>
          <w:sz w:val="20"/>
          <w:szCs w:val="20"/>
          <w:lang w:val="en-US"/>
        </w:rPr>
        <w:t xml:space="preserve"> not pass flowering stage, and consequently </w:t>
      </w:r>
      <w:r w:rsidR="003848C4">
        <w:rPr>
          <w:rFonts w:ascii="Arial" w:hAnsi="Arial" w:cs="Arial"/>
          <w:sz w:val="20"/>
          <w:szCs w:val="20"/>
          <w:lang w:val="en-US"/>
        </w:rPr>
        <w:t xml:space="preserve">will not produce </w:t>
      </w:r>
      <w:r w:rsidR="00CE5D8F" w:rsidRPr="00CE5D8F">
        <w:rPr>
          <w:rFonts w:ascii="Arial" w:hAnsi="Arial" w:cs="Arial"/>
          <w:sz w:val="20"/>
          <w:szCs w:val="20"/>
          <w:lang w:val="en-US"/>
        </w:rPr>
        <w:t>seed</w:t>
      </w:r>
      <w:r w:rsidR="003848C4">
        <w:rPr>
          <w:rFonts w:ascii="Arial" w:hAnsi="Arial" w:cs="Arial"/>
          <w:sz w:val="20"/>
          <w:szCs w:val="20"/>
          <w:lang w:val="en-US"/>
        </w:rPr>
        <w:t>s</w:t>
      </w:r>
      <w:r w:rsidR="00CE5D8F" w:rsidRPr="00CE5D8F">
        <w:rPr>
          <w:rFonts w:ascii="Arial" w:hAnsi="Arial" w:cs="Arial"/>
          <w:sz w:val="20"/>
          <w:szCs w:val="20"/>
          <w:lang w:val="en-US"/>
        </w:rPr>
        <w:t>, reducing t</w:t>
      </w:r>
      <w:r w:rsidR="003848C4">
        <w:rPr>
          <w:rFonts w:ascii="Arial" w:hAnsi="Arial" w:cs="Arial"/>
          <w:sz w:val="20"/>
          <w:szCs w:val="20"/>
          <w:lang w:val="en-US"/>
        </w:rPr>
        <w:t>he seed bank in the area and weed</w:t>
      </w:r>
      <w:r w:rsidR="00CE5D8F" w:rsidRPr="00CE5D8F">
        <w:rPr>
          <w:rFonts w:ascii="Arial" w:hAnsi="Arial" w:cs="Arial"/>
          <w:sz w:val="20"/>
          <w:szCs w:val="20"/>
          <w:lang w:val="en-US"/>
        </w:rPr>
        <w:t xml:space="preserve"> incidence.</w:t>
      </w:r>
    </w:p>
    <w:p w:rsidR="00BC28E8" w:rsidRPr="00CE5D8F" w:rsidRDefault="00BC28E8" w:rsidP="00C13896">
      <w:pPr>
        <w:spacing w:line="48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</w:p>
    <w:p w:rsidR="00981824" w:rsidRPr="00CE5D8F" w:rsidRDefault="00D472F2" w:rsidP="00871231">
      <w:pPr>
        <w:spacing w:line="48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71231">
        <w:rPr>
          <w:noProof/>
          <w:lang w:eastAsia="pt-BR"/>
        </w:rPr>
        <w:drawing>
          <wp:inline distT="0" distB="0" distL="0" distR="0">
            <wp:extent cx="6116320" cy="2760345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48C4" w:rsidRPr="003D0205" w:rsidRDefault="00871231" w:rsidP="003848C4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lastRenderedPageBreak/>
        <w:t>T</w:t>
      </w:r>
      <w:r w:rsidR="003848C4" w:rsidRPr="003D0205">
        <w:rPr>
          <w:rFonts w:ascii="Arial" w:hAnsi="Arial" w:cs="Arial"/>
          <w:sz w:val="18"/>
          <w:szCs w:val="18"/>
          <w:lang w:val="en-US"/>
        </w:rPr>
        <w:t>o herbicides, Nimbus mineral oil (500 mL ha</w:t>
      </w:r>
      <w:r w:rsidR="003848C4" w:rsidRPr="003D0205">
        <w:rPr>
          <w:rFonts w:ascii="Arial" w:hAnsi="Arial" w:cs="Arial"/>
          <w:sz w:val="18"/>
          <w:szCs w:val="18"/>
          <w:vertAlign w:val="superscript"/>
          <w:lang w:val="en-US"/>
        </w:rPr>
        <w:t>-1</w:t>
      </w:r>
      <w:r w:rsidR="003848C4" w:rsidRPr="003D0205">
        <w:rPr>
          <w:rFonts w:ascii="Arial" w:hAnsi="Arial" w:cs="Arial"/>
          <w:sz w:val="18"/>
          <w:szCs w:val="18"/>
          <w:lang w:val="en-US"/>
        </w:rPr>
        <w:t>) was added</w:t>
      </w:r>
      <w:r w:rsidR="003848C4">
        <w:rPr>
          <w:rFonts w:ascii="Arial" w:hAnsi="Arial" w:cs="Arial"/>
          <w:sz w:val="18"/>
          <w:szCs w:val="18"/>
          <w:lang w:val="en-US"/>
        </w:rPr>
        <w:t xml:space="preserve">; </w:t>
      </w:r>
      <w:r w:rsidR="003848C4" w:rsidRPr="003D0205">
        <w:rPr>
          <w:rFonts w:ascii="Arial" w:hAnsi="Arial" w:cs="Arial"/>
          <w:sz w:val="18"/>
          <w:szCs w:val="18"/>
          <w:lang w:val="en-US"/>
        </w:rPr>
        <w:t>Means followed by the same lette</w:t>
      </w:r>
      <w:r w:rsidR="000B0F81">
        <w:rPr>
          <w:rFonts w:ascii="Arial" w:hAnsi="Arial" w:cs="Arial"/>
          <w:sz w:val="18"/>
          <w:szCs w:val="18"/>
          <w:lang w:val="en-US"/>
        </w:rPr>
        <w:t xml:space="preserve">r in the column do not differ </w:t>
      </w:r>
      <w:r w:rsidR="003848C4" w:rsidRPr="00AA2376">
        <w:rPr>
          <w:rFonts w:ascii="Arial" w:hAnsi="Arial" w:cs="Arial"/>
          <w:sz w:val="18"/>
          <w:szCs w:val="18"/>
          <w:lang w:val="en-US"/>
        </w:rPr>
        <w:t>among them by</w:t>
      </w:r>
      <w:r w:rsidR="003848C4" w:rsidRPr="003D0205">
        <w:rPr>
          <w:rFonts w:ascii="Arial" w:hAnsi="Arial" w:cs="Arial"/>
          <w:sz w:val="18"/>
          <w:szCs w:val="18"/>
          <w:lang w:val="en-US"/>
        </w:rPr>
        <w:t xml:space="preserve"> Scott-Knott test (p = 0.05). Statistical analysis was performed with data converted to</w:t>
      </w:r>
      <w:r w:rsidR="003848C4" w:rsidRPr="00AA2376">
        <w:rPr>
          <w:rFonts w:ascii="Arial" w:hAnsi="Arial" w:cs="Arial"/>
          <w:sz w:val="18"/>
          <w:szCs w:val="18"/>
          <w:lang w:val="en-US"/>
        </w:rPr>
        <w:t xml:space="preserve"> arc</w:t>
      </w:r>
      <w:r w:rsidR="003848C4" w:rsidRPr="003D0205">
        <w:rPr>
          <w:rFonts w:ascii="Arial" w:hAnsi="Arial" w:cs="Arial"/>
          <w:sz w:val="18"/>
          <w:szCs w:val="18"/>
          <w:lang w:val="en-US"/>
        </w:rPr>
        <w:t xml:space="preserve">sen √x/100. </w:t>
      </w:r>
      <w:r w:rsidR="003848C4" w:rsidRPr="00D472F2">
        <w:rPr>
          <w:rFonts w:ascii="Arial" w:hAnsi="Arial" w:cs="Arial"/>
          <w:sz w:val="18"/>
          <w:szCs w:val="18"/>
          <w:lang w:val="en-US"/>
        </w:rPr>
        <w:t>Gly: glyphosate; Flu: fluazifop; Clo: clodinafop; Qui: quizalofop; Cle: clethodim.</w:t>
      </w:r>
    </w:p>
    <w:p w:rsidR="00C13896" w:rsidRPr="003848C4" w:rsidRDefault="00C13896" w:rsidP="00C13896">
      <w:pPr>
        <w:spacing w:line="48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BC28E8" w:rsidRPr="000501C7" w:rsidRDefault="00CE5D8F" w:rsidP="002B78B8">
      <w:pPr>
        <w:spacing w:line="480" w:lineRule="auto"/>
        <w:jc w:val="both"/>
        <w:rPr>
          <w:rFonts w:ascii="Arial" w:hAnsi="Arial" w:cs="Arial"/>
          <w:i/>
          <w:color w:val="000000"/>
          <w:sz w:val="20"/>
          <w:szCs w:val="20"/>
          <w:lang w:val="en-US"/>
        </w:rPr>
      </w:pPr>
      <w:r w:rsidRPr="00CE5D8F">
        <w:rPr>
          <w:rFonts w:ascii="Arial" w:hAnsi="Arial" w:cs="Arial"/>
          <w:b/>
          <w:sz w:val="20"/>
          <w:szCs w:val="20"/>
          <w:lang w:val="en-US"/>
        </w:rPr>
        <w:t>Figure</w:t>
      </w:r>
      <w:r w:rsidR="00C13896" w:rsidRPr="00CE5D8F">
        <w:rPr>
          <w:rFonts w:ascii="Arial" w:hAnsi="Arial" w:cs="Arial"/>
          <w:b/>
          <w:sz w:val="20"/>
          <w:szCs w:val="20"/>
          <w:lang w:val="en-US"/>
        </w:rPr>
        <w:t xml:space="preserve"> 2. </w:t>
      </w:r>
      <w:r w:rsidR="00BC28E8" w:rsidRPr="00461D0B">
        <w:rPr>
          <w:rFonts w:ascii="Arial" w:hAnsi="Arial" w:cs="Arial"/>
          <w:sz w:val="20"/>
          <w:szCs w:val="20"/>
          <w:lang w:val="en-US"/>
        </w:rPr>
        <w:t>Dry matter of ryegrass plants (</w:t>
      </w:r>
      <w:r w:rsidR="00BC28E8" w:rsidRPr="00D472F2">
        <w:rPr>
          <w:rFonts w:ascii="Arial" w:hAnsi="Arial" w:cs="Arial"/>
          <w:i/>
          <w:sz w:val="20"/>
          <w:szCs w:val="20"/>
          <w:lang w:val="en-US"/>
        </w:rPr>
        <w:t>Loliummultiflorum</w:t>
      </w:r>
      <w:r w:rsidR="00BC28E8" w:rsidRPr="00461D0B">
        <w:rPr>
          <w:rFonts w:ascii="Arial" w:hAnsi="Arial" w:cs="Arial"/>
          <w:sz w:val="20"/>
          <w:szCs w:val="20"/>
          <w:lang w:val="en-US"/>
        </w:rPr>
        <w:t>) remaining of herbicides application at 59 days after the treatments applicatio</w:t>
      </w:r>
      <w:r w:rsidR="005F64EC" w:rsidRPr="00461D0B">
        <w:rPr>
          <w:rFonts w:ascii="Arial" w:hAnsi="Arial" w:cs="Arial"/>
          <w:sz w:val="20"/>
          <w:szCs w:val="20"/>
          <w:lang w:val="en-US"/>
        </w:rPr>
        <w:t xml:space="preserve">ns. </w:t>
      </w:r>
      <w:r w:rsidR="005F64EC" w:rsidRPr="000501C7">
        <w:rPr>
          <w:rFonts w:ascii="Arial" w:hAnsi="Arial" w:cs="Arial"/>
          <w:sz w:val="20"/>
          <w:szCs w:val="20"/>
          <w:lang w:val="en-US"/>
        </w:rPr>
        <w:t>UNICRUZ, Cruz Alta/RS, 2010.</w:t>
      </w:r>
    </w:p>
    <w:p w:rsidR="009A370F" w:rsidRPr="000501C7" w:rsidRDefault="009A370F" w:rsidP="00C13896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C13896" w:rsidRPr="00E22CD6" w:rsidRDefault="00CE5D8F" w:rsidP="00C13896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E22CD6">
        <w:rPr>
          <w:rFonts w:ascii="Arial" w:hAnsi="Arial" w:cs="Arial"/>
          <w:b/>
          <w:sz w:val="20"/>
          <w:szCs w:val="20"/>
          <w:lang w:val="en-US"/>
        </w:rPr>
        <w:t>Conclusion</w:t>
      </w:r>
      <w:r w:rsidR="00C13896" w:rsidRPr="00E22CD6">
        <w:rPr>
          <w:rFonts w:ascii="Arial" w:hAnsi="Arial" w:cs="Arial"/>
          <w:b/>
          <w:sz w:val="20"/>
          <w:szCs w:val="20"/>
          <w:lang w:val="en-US"/>
        </w:rPr>
        <w:t>s</w:t>
      </w:r>
    </w:p>
    <w:p w:rsidR="00A83F91" w:rsidRPr="00E22CD6" w:rsidRDefault="00C13896" w:rsidP="00C1389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22CD6">
        <w:rPr>
          <w:rFonts w:ascii="Arial" w:hAnsi="Arial" w:cs="Arial"/>
          <w:sz w:val="20"/>
          <w:szCs w:val="20"/>
          <w:lang w:val="en-US"/>
        </w:rPr>
        <w:tab/>
      </w:r>
      <w:r w:rsidR="00E22CD6" w:rsidRPr="00E22CD6">
        <w:rPr>
          <w:rFonts w:ascii="Arial" w:hAnsi="Arial" w:cs="Arial"/>
          <w:sz w:val="20"/>
          <w:szCs w:val="20"/>
          <w:lang w:val="en-US"/>
        </w:rPr>
        <w:t>The increase</w:t>
      </w:r>
      <w:r w:rsidR="009F3010">
        <w:rPr>
          <w:rFonts w:ascii="Arial" w:hAnsi="Arial" w:cs="Arial"/>
          <w:sz w:val="20"/>
          <w:szCs w:val="20"/>
          <w:lang w:val="en-US"/>
        </w:rPr>
        <w:t xml:space="preserve"> in glyphosate dose improves ryegrass control</w:t>
      </w:r>
      <w:r w:rsidR="00E22CD6" w:rsidRPr="00E22CD6">
        <w:rPr>
          <w:rFonts w:ascii="Arial" w:hAnsi="Arial" w:cs="Arial"/>
          <w:sz w:val="20"/>
          <w:szCs w:val="20"/>
          <w:lang w:val="en-US"/>
        </w:rPr>
        <w:t xml:space="preserve"> level.</w:t>
      </w:r>
    </w:p>
    <w:p w:rsidR="00AF79C1" w:rsidRPr="00E22CD6" w:rsidRDefault="00E22CD6" w:rsidP="0001794F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Pr="00E22CD6">
        <w:rPr>
          <w:rFonts w:ascii="Arial" w:hAnsi="Arial" w:cs="Arial"/>
          <w:sz w:val="20"/>
          <w:szCs w:val="20"/>
          <w:lang w:val="en-US"/>
        </w:rPr>
        <w:t xml:space="preserve">The </w:t>
      </w:r>
      <w:r w:rsidR="00266FF3">
        <w:rPr>
          <w:rFonts w:ascii="Arial" w:hAnsi="Arial" w:cs="Arial"/>
          <w:sz w:val="20"/>
          <w:szCs w:val="20"/>
          <w:lang w:val="en-US"/>
        </w:rPr>
        <w:t>isolate</w:t>
      </w:r>
      <w:r w:rsidRPr="00E22CD6">
        <w:rPr>
          <w:rFonts w:ascii="Arial" w:hAnsi="Arial" w:cs="Arial"/>
          <w:sz w:val="20"/>
          <w:szCs w:val="20"/>
          <w:lang w:val="en-US"/>
        </w:rPr>
        <w:t xml:space="preserve"> application of A</w:t>
      </w:r>
      <w:r w:rsidR="009F3010">
        <w:rPr>
          <w:rFonts w:ascii="Arial" w:hAnsi="Arial" w:cs="Arial"/>
          <w:sz w:val="20"/>
          <w:szCs w:val="20"/>
          <w:lang w:val="en-US"/>
        </w:rPr>
        <w:t>CCase inhibitors is not viable</w:t>
      </w:r>
      <w:r w:rsidRPr="00E22CD6">
        <w:rPr>
          <w:rFonts w:ascii="Arial" w:hAnsi="Arial" w:cs="Arial"/>
          <w:sz w:val="20"/>
          <w:szCs w:val="20"/>
          <w:lang w:val="en-US"/>
        </w:rPr>
        <w:t xml:space="preserve"> to </w:t>
      </w:r>
      <w:r w:rsidR="009F3010">
        <w:rPr>
          <w:rFonts w:ascii="Arial" w:hAnsi="Arial" w:cs="Arial"/>
          <w:sz w:val="20"/>
          <w:szCs w:val="20"/>
          <w:lang w:val="en-US"/>
        </w:rPr>
        <w:t xml:space="preserve">ryegrass </w:t>
      </w:r>
      <w:r w:rsidRPr="00E22CD6">
        <w:rPr>
          <w:rFonts w:ascii="Arial" w:hAnsi="Arial" w:cs="Arial"/>
          <w:sz w:val="20"/>
          <w:szCs w:val="20"/>
          <w:lang w:val="en-US"/>
        </w:rPr>
        <w:t xml:space="preserve">control. However, </w:t>
      </w:r>
      <w:r w:rsidR="009F3010">
        <w:rPr>
          <w:rFonts w:ascii="Arial" w:hAnsi="Arial" w:cs="Arial"/>
          <w:sz w:val="20"/>
          <w:szCs w:val="20"/>
          <w:lang w:val="en-US"/>
        </w:rPr>
        <w:t xml:space="preserve">it was a viable option </w:t>
      </w:r>
      <w:r w:rsidRPr="00E22CD6">
        <w:rPr>
          <w:rFonts w:ascii="Arial" w:hAnsi="Arial" w:cs="Arial"/>
          <w:sz w:val="20"/>
          <w:szCs w:val="20"/>
          <w:lang w:val="en-US"/>
        </w:rPr>
        <w:t>when associated with glyphosate, especially with cleth</w:t>
      </w:r>
      <w:r w:rsidR="009F3010">
        <w:rPr>
          <w:rFonts w:ascii="Arial" w:hAnsi="Arial" w:cs="Arial"/>
          <w:sz w:val="20"/>
          <w:szCs w:val="20"/>
          <w:lang w:val="en-US"/>
        </w:rPr>
        <w:t>odim and quizalofop-p-tefuril</w:t>
      </w:r>
      <w:r w:rsidRPr="00E22CD6">
        <w:rPr>
          <w:rFonts w:ascii="Arial" w:hAnsi="Arial" w:cs="Arial"/>
          <w:sz w:val="20"/>
          <w:szCs w:val="20"/>
          <w:lang w:val="en-US"/>
        </w:rPr>
        <w:t>.</w:t>
      </w:r>
    </w:p>
    <w:p w:rsidR="007E1250" w:rsidRPr="00E22CD6" w:rsidRDefault="00E22CD6" w:rsidP="0001794F">
      <w:pPr>
        <w:spacing w:line="480" w:lineRule="auto"/>
        <w:ind w:firstLine="708"/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 w:rsidRPr="00E22CD6">
        <w:rPr>
          <w:rFonts w:ascii="Arial" w:hAnsi="Arial" w:cs="Arial"/>
          <w:sz w:val="20"/>
          <w:szCs w:val="20"/>
          <w:lang w:val="en-US"/>
        </w:rPr>
        <w:t>The paraquat and glufosinate herbicides are not</w:t>
      </w:r>
      <w:r w:rsidR="007C35FF">
        <w:rPr>
          <w:rFonts w:ascii="Arial" w:hAnsi="Arial" w:cs="Arial"/>
          <w:sz w:val="20"/>
          <w:szCs w:val="20"/>
          <w:lang w:val="en-US"/>
        </w:rPr>
        <w:t xml:space="preserve"> good alternatives to isolated</w:t>
      </w:r>
      <w:r w:rsidRPr="00E22CD6">
        <w:rPr>
          <w:rFonts w:ascii="Arial" w:hAnsi="Arial" w:cs="Arial"/>
          <w:sz w:val="20"/>
          <w:szCs w:val="20"/>
          <w:lang w:val="en-US"/>
        </w:rPr>
        <w:t xml:space="preserve"> application, highlighting its importance in sequential application.</w:t>
      </w:r>
    </w:p>
    <w:p w:rsidR="00D41067" w:rsidRPr="00E22CD6" w:rsidRDefault="00D41067" w:rsidP="00C13896">
      <w:pPr>
        <w:spacing w:line="480" w:lineRule="auto"/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</w:p>
    <w:p w:rsidR="006868A4" w:rsidRPr="009A370F" w:rsidRDefault="00E22CD6" w:rsidP="00F00CD4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References</w:t>
      </w:r>
    </w:p>
    <w:p w:rsidR="00351908" w:rsidRPr="009A370F" w:rsidRDefault="00351908" w:rsidP="00266FF3">
      <w:pPr>
        <w:pStyle w:val="Default"/>
        <w:spacing w:line="480" w:lineRule="auto"/>
        <w:rPr>
          <w:sz w:val="20"/>
          <w:szCs w:val="20"/>
        </w:rPr>
      </w:pPr>
      <w:r w:rsidRPr="009A370F">
        <w:rPr>
          <w:sz w:val="20"/>
          <w:szCs w:val="20"/>
        </w:rPr>
        <w:t xml:space="preserve">AGROFIT. </w:t>
      </w:r>
      <w:r w:rsidRPr="009A370F">
        <w:rPr>
          <w:b/>
          <w:sz w:val="20"/>
          <w:szCs w:val="20"/>
        </w:rPr>
        <w:t>Sistema de agrotóxicos fitossanitários.</w:t>
      </w:r>
      <w:r w:rsidR="00266FF3">
        <w:rPr>
          <w:b/>
          <w:sz w:val="20"/>
          <w:szCs w:val="20"/>
        </w:rPr>
        <w:t xml:space="preserve"> </w:t>
      </w:r>
      <w:r w:rsidR="00266FF3" w:rsidRPr="00266FF3">
        <w:rPr>
          <w:bCs/>
          <w:sz w:val="20"/>
          <w:lang w:val="en-US"/>
        </w:rPr>
        <w:t>Ava</w:t>
      </w:r>
      <w:r w:rsidR="00266FF3">
        <w:rPr>
          <w:bCs/>
          <w:sz w:val="20"/>
          <w:lang w:val="en-US"/>
        </w:rPr>
        <w:t>ila</w:t>
      </w:r>
      <w:r w:rsidR="00266FF3" w:rsidRPr="00266FF3">
        <w:rPr>
          <w:bCs/>
          <w:sz w:val="20"/>
          <w:lang w:val="en-US"/>
        </w:rPr>
        <w:t>ble in</w:t>
      </w:r>
      <w:r w:rsidR="00266FF3">
        <w:rPr>
          <w:bCs/>
          <w:sz w:val="20"/>
          <w:lang w:val="en-US"/>
        </w:rPr>
        <w:t xml:space="preserve">: </w:t>
      </w:r>
      <w:r w:rsidRPr="00266FF3">
        <w:rPr>
          <w:sz w:val="20"/>
          <w:szCs w:val="20"/>
          <w:lang w:val="en-US"/>
        </w:rPr>
        <w:t xml:space="preserve">&lt;http://extranet.agricultura.gov.br/agrofit_cons/principal_agrofit_cons&gt;. </w:t>
      </w:r>
      <w:r w:rsidRPr="00266FF3">
        <w:rPr>
          <w:sz w:val="20"/>
          <w:szCs w:val="20"/>
        </w:rPr>
        <w:t>A</w:t>
      </w:r>
      <w:r w:rsidR="00266FF3" w:rsidRPr="00266FF3">
        <w:rPr>
          <w:sz w:val="20"/>
          <w:szCs w:val="20"/>
        </w:rPr>
        <w:t>c</w:t>
      </w:r>
      <w:r w:rsidRPr="00266FF3">
        <w:rPr>
          <w:sz w:val="20"/>
          <w:szCs w:val="20"/>
        </w:rPr>
        <w:t>cess: 07</w:t>
      </w:r>
      <w:r w:rsidRPr="009A370F">
        <w:rPr>
          <w:sz w:val="20"/>
          <w:szCs w:val="20"/>
        </w:rPr>
        <w:t xml:space="preserve"> jan. 2014.</w:t>
      </w:r>
    </w:p>
    <w:p w:rsidR="00351908" w:rsidRPr="009A370F" w:rsidRDefault="00351908" w:rsidP="00351908">
      <w:pPr>
        <w:spacing w:line="48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EA6D8F" w:rsidRPr="009A370F" w:rsidRDefault="00ED5FB8" w:rsidP="00B92315">
      <w:pPr>
        <w:spacing w:line="480" w:lineRule="auto"/>
        <w:outlineLvl w:val="0"/>
        <w:rPr>
          <w:rFonts w:ascii="Arial" w:hAnsi="Arial" w:cs="Arial"/>
          <w:sz w:val="20"/>
          <w:szCs w:val="20"/>
        </w:rPr>
      </w:pPr>
      <w:r w:rsidRPr="009A370F">
        <w:rPr>
          <w:rFonts w:ascii="Arial" w:hAnsi="Arial" w:cs="Arial"/>
          <w:sz w:val="20"/>
          <w:szCs w:val="20"/>
        </w:rPr>
        <w:t xml:space="preserve">BARROSO, A. L. </w:t>
      </w:r>
      <w:r w:rsidR="00927E5D" w:rsidRPr="009A370F">
        <w:rPr>
          <w:rFonts w:ascii="Arial" w:hAnsi="Arial" w:cs="Arial"/>
          <w:sz w:val="20"/>
          <w:szCs w:val="20"/>
        </w:rPr>
        <w:t xml:space="preserve">L.; DAN, H. A.; PROCÓPIO, S. O.; TOLEDO, R. E. B.; SANDANIEL, C. R.; BRAZ, G. B. P.; CRUVINEL, K. L.  </w:t>
      </w:r>
      <w:r w:rsidR="00EA6D8F" w:rsidRPr="009A370F">
        <w:rPr>
          <w:rFonts w:ascii="Arial" w:hAnsi="Arial" w:cs="Arial"/>
          <w:sz w:val="20"/>
          <w:szCs w:val="20"/>
        </w:rPr>
        <w:t xml:space="preserve">Eficácia de herbicidas inibidores da ACCase no controle de gramíneas em lavouras de soja. </w:t>
      </w:r>
      <w:r w:rsidR="00927E5D" w:rsidRPr="009A370F">
        <w:rPr>
          <w:rFonts w:ascii="Arial" w:hAnsi="Arial" w:cs="Arial"/>
          <w:b/>
          <w:sz w:val="20"/>
          <w:szCs w:val="20"/>
        </w:rPr>
        <w:t>Planta Daninha,</w:t>
      </w:r>
      <w:r w:rsidR="00EA6D8F" w:rsidRPr="009A370F">
        <w:rPr>
          <w:rFonts w:ascii="Arial" w:hAnsi="Arial" w:cs="Arial"/>
          <w:sz w:val="20"/>
          <w:szCs w:val="20"/>
        </w:rPr>
        <w:t>Viçosa-MG, v. 28, n.1, p. 149-157, 2010.</w:t>
      </w:r>
    </w:p>
    <w:p w:rsidR="000D52AF" w:rsidRPr="009A370F" w:rsidRDefault="000D52AF" w:rsidP="00B92315">
      <w:pPr>
        <w:spacing w:line="480" w:lineRule="auto"/>
        <w:outlineLvl w:val="0"/>
        <w:rPr>
          <w:rFonts w:ascii="Arial" w:hAnsi="Arial" w:cs="Arial"/>
          <w:sz w:val="20"/>
          <w:szCs w:val="20"/>
        </w:rPr>
      </w:pPr>
    </w:p>
    <w:p w:rsidR="00F475FC" w:rsidRPr="009A370F" w:rsidRDefault="00F475FC" w:rsidP="00B92315">
      <w:pPr>
        <w:spacing w:line="480" w:lineRule="auto"/>
        <w:outlineLvl w:val="0"/>
        <w:rPr>
          <w:rFonts w:ascii="Arial" w:hAnsi="Arial" w:cs="Arial"/>
          <w:sz w:val="20"/>
          <w:szCs w:val="20"/>
        </w:rPr>
      </w:pPr>
      <w:r w:rsidRPr="009A370F">
        <w:rPr>
          <w:rFonts w:ascii="Arial" w:hAnsi="Arial" w:cs="Arial"/>
          <w:sz w:val="20"/>
          <w:szCs w:val="20"/>
        </w:rPr>
        <w:t xml:space="preserve">CAMPOS, </w:t>
      </w:r>
      <w:r w:rsidR="004C62DA" w:rsidRPr="009A370F">
        <w:rPr>
          <w:rFonts w:ascii="Arial" w:hAnsi="Arial" w:cs="Arial"/>
          <w:sz w:val="20"/>
          <w:szCs w:val="20"/>
        </w:rPr>
        <w:t xml:space="preserve">C. F. de; MARTINS, D.; COSTA, A. C. P. R. da; PEREIRA, M. R. R.; </w:t>
      </w:r>
      <w:r w:rsidR="00ED5FB8" w:rsidRPr="009A370F">
        <w:rPr>
          <w:rFonts w:ascii="Arial" w:hAnsi="Arial" w:cs="Arial"/>
          <w:sz w:val="20"/>
          <w:szCs w:val="20"/>
        </w:rPr>
        <w:t xml:space="preserve">CARDOSO, L. A.; MARTINS, C. C.  </w:t>
      </w:r>
      <w:r w:rsidRPr="009A370F">
        <w:rPr>
          <w:rFonts w:ascii="Arial" w:hAnsi="Arial" w:cs="Arial"/>
          <w:sz w:val="20"/>
          <w:szCs w:val="20"/>
        </w:rPr>
        <w:t xml:space="preserve">Efeito de herbicidas na dessecação e germinação de sementes remanescentes de </w:t>
      </w:r>
      <w:r w:rsidRPr="009A370F">
        <w:rPr>
          <w:rFonts w:ascii="Arial" w:hAnsi="Arial" w:cs="Arial"/>
          <w:i/>
          <w:sz w:val="20"/>
          <w:szCs w:val="20"/>
        </w:rPr>
        <w:t>Loliummultiflorum</w:t>
      </w:r>
      <w:r w:rsidRPr="009A370F">
        <w:rPr>
          <w:rFonts w:ascii="Arial" w:hAnsi="Arial" w:cs="Arial"/>
          <w:sz w:val="20"/>
          <w:szCs w:val="20"/>
        </w:rPr>
        <w:t xml:space="preserve">L. </w:t>
      </w:r>
      <w:r w:rsidR="00AF3338" w:rsidRPr="009A370F">
        <w:rPr>
          <w:rFonts w:ascii="Arial" w:hAnsi="Arial" w:cs="Arial"/>
          <w:b/>
          <w:sz w:val="20"/>
          <w:szCs w:val="20"/>
        </w:rPr>
        <w:t xml:space="preserve">Semina: Ciências Agrárias, </w:t>
      </w:r>
      <w:r w:rsidRPr="009A370F">
        <w:rPr>
          <w:rFonts w:ascii="Arial" w:hAnsi="Arial" w:cs="Arial"/>
          <w:sz w:val="20"/>
          <w:szCs w:val="20"/>
        </w:rPr>
        <w:t>Londrina, v.33, n.6, p. 2067-2074, nov./dez. 2012.</w:t>
      </w:r>
    </w:p>
    <w:p w:rsidR="00F475FC" w:rsidRPr="009A370F" w:rsidRDefault="00F475FC" w:rsidP="00B92315">
      <w:pPr>
        <w:spacing w:line="480" w:lineRule="auto"/>
        <w:rPr>
          <w:rFonts w:ascii="Arial" w:hAnsi="Arial" w:cs="Arial"/>
          <w:sz w:val="20"/>
          <w:szCs w:val="20"/>
        </w:rPr>
      </w:pPr>
    </w:p>
    <w:p w:rsidR="008B5F82" w:rsidRPr="009A370F" w:rsidRDefault="00037AB7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370F">
        <w:rPr>
          <w:rFonts w:ascii="Arial" w:hAnsi="Arial" w:cs="Arial"/>
          <w:sz w:val="20"/>
          <w:szCs w:val="20"/>
        </w:rPr>
        <w:t xml:space="preserve">DORS, C. A.; CHRISTOFFOLETI, P. J.; SANCHOTENE, D. M.; DIAS, A. C. R.; MANFRON, P. A.; DORNELES, S. H. B.  </w:t>
      </w:r>
      <w:r w:rsidR="008B5F82" w:rsidRPr="009A370F">
        <w:rPr>
          <w:rFonts w:ascii="Arial" w:hAnsi="Arial" w:cs="Arial"/>
          <w:sz w:val="20"/>
          <w:szCs w:val="20"/>
        </w:rPr>
        <w:t xml:space="preserve">Suscetibilidade de genótipos de </w:t>
      </w:r>
      <w:r w:rsidR="008B5F82" w:rsidRPr="009A370F">
        <w:rPr>
          <w:rFonts w:ascii="Arial" w:hAnsi="Arial" w:cs="Arial"/>
          <w:i/>
          <w:sz w:val="20"/>
          <w:szCs w:val="20"/>
        </w:rPr>
        <w:t>Loliummultiflorum</w:t>
      </w:r>
      <w:r w:rsidR="008B5F82" w:rsidRPr="009A370F">
        <w:rPr>
          <w:rFonts w:ascii="Arial" w:hAnsi="Arial" w:cs="Arial"/>
          <w:sz w:val="20"/>
          <w:szCs w:val="20"/>
        </w:rPr>
        <w:t xml:space="preserve"> ao herbicida glyphosate. </w:t>
      </w:r>
      <w:r w:rsidR="008B5F82" w:rsidRPr="009A370F">
        <w:rPr>
          <w:rFonts w:ascii="Arial" w:hAnsi="Arial" w:cs="Arial"/>
          <w:b/>
          <w:sz w:val="20"/>
          <w:szCs w:val="20"/>
        </w:rPr>
        <w:t xml:space="preserve">Planta Daninha, </w:t>
      </w:r>
      <w:r w:rsidRPr="009A370F">
        <w:rPr>
          <w:rFonts w:ascii="Arial" w:hAnsi="Arial" w:cs="Arial"/>
          <w:sz w:val="20"/>
          <w:szCs w:val="20"/>
        </w:rPr>
        <w:t>Viçosa-</w:t>
      </w:r>
      <w:r w:rsidR="008B5F82" w:rsidRPr="009A370F">
        <w:rPr>
          <w:rFonts w:ascii="Arial" w:hAnsi="Arial" w:cs="Arial"/>
          <w:sz w:val="20"/>
          <w:szCs w:val="20"/>
        </w:rPr>
        <w:t>MG, v.28, n.2, p.401-410, 2010.</w:t>
      </w:r>
    </w:p>
    <w:p w:rsidR="00C432C5" w:rsidRPr="009A370F" w:rsidRDefault="00C432C5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3E2721" w:rsidRPr="009764E2" w:rsidRDefault="003E2721" w:rsidP="003E272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370F">
        <w:rPr>
          <w:rFonts w:ascii="Arial" w:hAnsi="Arial" w:cs="Arial"/>
          <w:sz w:val="20"/>
          <w:szCs w:val="20"/>
        </w:rPr>
        <w:t xml:space="preserve">EMBRAPA - EMPRESA BRASILEIRA DE PESQUISA AGROPECUÁRIA. </w:t>
      </w:r>
      <w:r w:rsidRPr="009A370F">
        <w:rPr>
          <w:rFonts w:ascii="Arial" w:hAnsi="Arial" w:cs="Arial"/>
          <w:b/>
          <w:sz w:val="20"/>
          <w:szCs w:val="20"/>
        </w:rPr>
        <w:t>Sistema Brasileiro de Classificação de Solos</w:t>
      </w:r>
      <w:r w:rsidRPr="009A370F">
        <w:rPr>
          <w:rFonts w:ascii="Arial" w:hAnsi="Arial" w:cs="Arial"/>
          <w:sz w:val="20"/>
          <w:szCs w:val="20"/>
        </w:rPr>
        <w:t xml:space="preserve">. </w:t>
      </w:r>
      <w:r w:rsidRPr="009764E2">
        <w:rPr>
          <w:rFonts w:ascii="Arial" w:hAnsi="Arial" w:cs="Arial"/>
          <w:sz w:val="20"/>
          <w:szCs w:val="20"/>
        </w:rPr>
        <w:t xml:space="preserve">2 ed, </w:t>
      </w:r>
      <w:r w:rsidRPr="009764E2">
        <w:rPr>
          <w:rFonts w:ascii="Arial" w:hAnsi="Arial" w:cs="Arial"/>
          <w:sz w:val="20"/>
          <w:szCs w:val="20"/>
          <w:lang w:eastAsia="pt-BR"/>
        </w:rPr>
        <w:t xml:space="preserve">Rio de Janeiro: EMBRAPA-SPI, </w:t>
      </w:r>
      <w:r w:rsidRPr="009764E2">
        <w:rPr>
          <w:rFonts w:ascii="Arial" w:hAnsi="Arial" w:cs="Arial"/>
          <w:sz w:val="20"/>
          <w:szCs w:val="20"/>
        </w:rPr>
        <w:t>2006, 412 p.</w:t>
      </w:r>
    </w:p>
    <w:p w:rsidR="002C3BDE" w:rsidRPr="009A370F" w:rsidRDefault="002C3BDE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B1E6A" w:rsidRPr="009A370F" w:rsidRDefault="007B1E6A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370F">
        <w:rPr>
          <w:rFonts w:ascii="Arial" w:hAnsi="Arial" w:cs="Arial"/>
          <w:sz w:val="20"/>
          <w:szCs w:val="20"/>
        </w:rPr>
        <w:lastRenderedPageBreak/>
        <w:t>GALVAN, J.; RIZZ</w:t>
      </w:r>
      <w:r w:rsidR="00E96CD3" w:rsidRPr="009A370F">
        <w:rPr>
          <w:rFonts w:ascii="Arial" w:hAnsi="Arial" w:cs="Arial"/>
          <w:sz w:val="20"/>
          <w:szCs w:val="20"/>
        </w:rPr>
        <w:t xml:space="preserve">ARDI, M. A.; SCHEFFER-BASSO, S.  </w:t>
      </w:r>
      <w:r w:rsidRPr="009A370F">
        <w:rPr>
          <w:rFonts w:ascii="Arial" w:hAnsi="Arial" w:cs="Arial"/>
          <w:sz w:val="20"/>
          <w:szCs w:val="20"/>
        </w:rPr>
        <w:t>Aspectos morfofisiológicos de biótipos de azevém (</w:t>
      </w:r>
      <w:r w:rsidRPr="009A370F">
        <w:rPr>
          <w:rFonts w:ascii="Arial" w:hAnsi="Arial" w:cs="Arial"/>
          <w:i/>
          <w:sz w:val="20"/>
          <w:szCs w:val="20"/>
        </w:rPr>
        <w:t>Loliummultiflorum</w:t>
      </w:r>
      <w:r w:rsidRPr="009A370F">
        <w:rPr>
          <w:rFonts w:ascii="Arial" w:hAnsi="Arial" w:cs="Arial"/>
          <w:sz w:val="20"/>
          <w:szCs w:val="20"/>
        </w:rPr>
        <w:t xml:space="preserve">) sensíveis e resistentes ao glyphosate. </w:t>
      </w:r>
      <w:r w:rsidRPr="009A370F">
        <w:rPr>
          <w:rFonts w:ascii="Arial" w:hAnsi="Arial" w:cs="Arial"/>
          <w:b/>
          <w:sz w:val="20"/>
          <w:szCs w:val="20"/>
        </w:rPr>
        <w:t xml:space="preserve">Planta Daninha. </w:t>
      </w:r>
      <w:r w:rsidRPr="009A370F">
        <w:rPr>
          <w:rFonts w:ascii="Arial" w:hAnsi="Arial" w:cs="Arial"/>
          <w:sz w:val="20"/>
          <w:szCs w:val="20"/>
        </w:rPr>
        <w:t>v. 29, p. 1107-1112, 2011. Número especial.</w:t>
      </w:r>
    </w:p>
    <w:p w:rsidR="00E93B7A" w:rsidRPr="009A370F" w:rsidRDefault="00E93B7A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EA108B" w:rsidRPr="009A370F" w:rsidRDefault="00E96CD3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370F">
        <w:rPr>
          <w:rFonts w:ascii="Arial" w:hAnsi="Arial" w:cs="Arial"/>
          <w:sz w:val="20"/>
          <w:szCs w:val="20"/>
        </w:rPr>
        <w:t xml:space="preserve">GEMELLI, A.; JUNIOR, R. S. de O.; CONSTANTIN, J.; </w:t>
      </w:r>
      <w:r w:rsidR="009478BB" w:rsidRPr="009A370F">
        <w:rPr>
          <w:rFonts w:ascii="Arial" w:hAnsi="Arial" w:cs="Arial"/>
          <w:sz w:val="20"/>
          <w:szCs w:val="20"/>
        </w:rPr>
        <w:t xml:space="preserve">BRAZ, G. B. P.; JUMES, T. M. de C.; GHENO, A. A.; RIOS, F. A.; FRANCHINI, L. H. M.  </w:t>
      </w:r>
      <w:r w:rsidR="00EA108B" w:rsidRPr="009A370F">
        <w:rPr>
          <w:rFonts w:ascii="Arial" w:hAnsi="Arial" w:cs="Arial"/>
          <w:sz w:val="20"/>
          <w:szCs w:val="20"/>
        </w:rPr>
        <w:t xml:space="preserve">Estratégias para o controle de capim-amargoso </w:t>
      </w:r>
      <w:r w:rsidR="00571C07" w:rsidRPr="009A370F">
        <w:rPr>
          <w:rFonts w:ascii="Arial" w:hAnsi="Arial" w:cs="Arial"/>
          <w:sz w:val="20"/>
          <w:szCs w:val="20"/>
        </w:rPr>
        <w:t>(</w:t>
      </w:r>
      <w:r w:rsidR="00571C07" w:rsidRPr="009A370F">
        <w:rPr>
          <w:rFonts w:ascii="Arial" w:hAnsi="Arial" w:cs="Arial"/>
          <w:i/>
          <w:sz w:val="20"/>
          <w:szCs w:val="20"/>
        </w:rPr>
        <w:t>Digitaria insularis)</w:t>
      </w:r>
      <w:r w:rsidR="007249DB" w:rsidRPr="009A370F">
        <w:rPr>
          <w:rFonts w:ascii="Arial" w:hAnsi="Arial" w:cs="Arial"/>
          <w:sz w:val="20"/>
          <w:szCs w:val="20"/>
        </w:rPr>
        <w:t xml:space="preserve">resistente ao glyphosate na cultura do milho safrinha. </w:t>
      </w:r>
      <w:r w:rsidR="007249DB" w:rsidRPr="009A370F">
        <w:rPr>
          <w:rFonts w:ascii="Arial" w:hAnsi="Arial" w:cs="Arial"/>
          <w:b/>
          <w:sz w:val="20"/>
          <w:szCs w:val="20"/>
        </w:rPr>
        <w:t>Revista Brasileira de Herbicidas</w:t>
      </w:r>
      <w:r w:rsidR="009478BB" w:rsidRPr="009A370F">
        <w:rPr>
          <w:rFonts w:ascii="Arial" w:hAnsi="Arial" w:cs="Arial"/>
          <w:b/>
          <w:sz w:val="20"/>
          <w:szCs w:val="20"/>
        </w:rPr>
        <w:t>,</w:t>
      </w:r>
      <w:r w:rsidR="007249DB" w:rsidRPr="009A370F">
        <w:rPr>
          <w:rFonts w:ascii="Arial" w:hAnsi="Arial" w:cs="Arial"/>
          <w:sz w:val="20"/>
          <w:szCs w:val="20"/>
        </w:rPr>
        <w:t>v. 12, n. 2, p. 162-170, mai./ago. 2013.</w:t>
      </w:r>
    </w:p>
    <w:p w:rsidR="007249DB" w:rsidRPr="009A370F" w:rsidRDefault="007249DB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CF25FB" w:rsidRPr="009A370F" w:rsidRDefault="00CF25FB" w:rsidP="00B92315">
      <w:pPr>
        <w:spacing w:line="480" w:lineRule="auto"/>
        <w:jc w:val="both"/>
        <w:rPr>
          <w:rFonts w:ascii="Arial" w:hAnsi="Arial" w:cs="Arial"/>
          <w:bCs/>
          <w:sz w:val="20"/>
          <w:szCs w:val="24"/>
        </w:rPr>
      </w:pPr>
      <w:r w:rsidRPr="009A370F">
        <w:rPr>
          <w:rFonts w:ascii="Arial" w:hAnsi="Arial" w:cs="Arial"/>
          <w:sz w:val="20"/>
          <w:szCs w:val="24"/>
        </w:rPr>
        <w:t xml:space="preserve">HEAP, I. </w:t>
      </w:r>
      <w:r w:rsidRPr="009A370F">
        <w:rPr>
          <w:rFonts w:ascii="Arial" w:hAnsi="Arial" w:cs="Arial"/>
          <w:b/>
          <w:bCs/>
          <w:sz w:val="20"/>
          <w:szCs w:val="24"/>
        </w:rPr>
        <w:t>The InternationalSurveyofHerbicideResistantWeeds</w:t>
      </w:r>
      <w:r w:rsidRPr="009A370F">
        <w:rPr>
          <w:rFonts w:ascii="Arial" w:hAnsi="Arial" w:cs="Arial"/>
          <w:bCs/>
          <w:sz w:val="20"/>
          <w:szCs w:val="24"/>
        </w:rPr>
        <w:t xml:space="preserve">. </w:t>
      </w:r>
      <w:r w:rsidR="00266FF3" w:rsidRPr="00266FF3">
        <w:rPr>
          <w:rFonts w:ascii="Arial" w:hAnsi="Arial" w:cs="Arial"/>
          <w:bCs/>
          <w:sz w:val="20"/>
          <w:szCs w:val="24"/>
          <w:lang w:val="en-US"/>
        </w:rPr>
        <w:t>Ava</w:t>
      </w:r>
      <w:r w:rsidR="00266FF3">
        <w:rPr>
          <w:rFonts w:ascii="Arial" w:hAnsi="Arial" w:cs="Arial"/>
          <w:bCs/>
          <w:sz w:val="20"/>
          <w:szCs w:val="24"/>
          <w:lang w:val="en-US"/>
        </w:rPr>
        <w:t>ila</w:t>
      </w:r>
      <w:r w:rsidR="00266FF3" w:rsidRPr="00266FF3">
        <w:rPr>
          <w:rFonts w:ascii="Arial" w:hAnsi="Arial" w:cs="Arial"/>
          <w:bCs/>
          <w:sz w:val="20"/>
          <w:szCs w:val="24"/>
          <w:lang w:val="en-US"/>
        </w:rPr>
        <w:t xml:space="preserve">ble in: </w:t>
      </w:r>
      <w:hyperlink r:id="rId11" w:history="1">
        <w:r w:rsidRPr="00266FF3">
          <w:rPr>
            <w:rStyle w:val="Hyperlink"/>
            <w:rFonts w:ascii="Arial" w:hAnsi="Arial" w:cs="Arial"/>
            <w:bCs/>
            <w:sz w:val="20"/>
            <w:szCs w:val="24"/>
            <w:lang w:val="en-US"/>
          </w:rPr>
          <w:t>www.weedscience.org</w:t>
        </w:r>
      </w:hyperlink>
      <w:r w:rsidRPr="00266FF3">
        <w:rPr>
          <w:rFonts w:ascii="Arial" w:hAnsi="Arial" w:cs="Arial"/>
          <w:bCs/>
          <w:sz w:val="20"/>
          <w:szCs w:val="24"/>
          <w:lang w:val="en-US"/>
        </w:rPr>
        <w:t xml:space="preserve">. </w:t>
      </w:r>
      <w:r w:rsidRPr="00266FF3">
        <w:rPr>
          <w:rFonts w:ascii="Arial" w:hAnsi="Arial" w:cs="Arial"/>
          <w:bCs/>
          <w:sz w:val="20"/>
          <w:szCs w:val="24"/>
        </w:rPr>
        <w:t>A</w:t>
      </w:r>
      <w:r w:rsidR="00266FF3">
        <w:rPr>
          <w:rFonts w:ascii="Arial" w:hAnsi="Arial" w:cs="Arial"/>
          <w:bCs/>
          <w:sz w:val="20"/>
          <w:szCs w:val="24"/>
        </w:rPr>
        <w:t>c</w:t>
      </w:r>
      <w:r w:rsidRPr="00266FF3">
        <w:rPr>
          <w:rFonts w:ascii="Arial" w:hAnsi="Arial" w:cs="Arial"/>
          <w:bCs/>
          <w:sz w:val="20"/>
          <w:szCs w:val="24"/>
        </w:rPr>
        <w:t>cess:</w:t>
      </w:r>
      <w:r w:rsidRPr="009A370F">
        <w:rPr>
          <w:rFonts w:ascii="Arial" w:hAnsi="Arial" w:cs="Arial"/>
          <w:bCs/>
          <w:sz w:val="20"/>
          <w:szCs w:val="24"/>
        </w:rPr>
        <w:t xml:space="preserve"> 07 de janeiro de 2014.</w:t>
      </w:r>
    </w:p>
    <w:p w:rsidR="00CF25FB" w:rsidRPr="009A370F" w:rsidRDefault="00CF25FB" w:rsidP="00B92315">
      <w:pPr>
        <w:spacing w:line="480" w:lineRule="auto"/>
        <w:jc w:val="both"/>
        <w:rPr>
          <w:rFonts w:ascii="Arial" w:hAnsi="Arial" w:cs="Arial"/>
          <w:sz w:val="20"/>
          <w:szCs w:val="24"/>
        </w:rPr>
      </w:pPr>
    </w:p>
    <w:p w:rsidR="00B657E5" w:rsidRPr="009A370F" w:rsidRDefault="00B657E5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764E2">
        <w:rPr>
          <w:rFonts w:ascii="Arial" w:hAnsi="Arial" w:cs="Arial"/>
          <w:sz w:val="20"/>
          <w:szCs w:val="20"/>
        </w:rPr>
        <w:t>MARCHI, G.; MAR</w:t>
      </w:r>
      <w:r w:rsidR="008B5A4B" w:rsidRPr="009764E2">
        <w:rPr>
          <w:rFonts w:ascii="Arial" w:hAnsi="Arial" w:cs="Arial"/>
          <w:sz w:val="20"/>
          <w:szCs w:val="20"/>
        </w:rPr>
        <w:t>C</w:t>
      </w:r>
      <w:r w:rsidR="00827339" w:rsidRPr="009764E2">
        <w:rPr>
          <w:rFonts w:ascii="Arial" w:hAnsi="Arial" w:cs="Arial"/>
          <w:sz w:val="20"/>
          <w:szCs w:val="20"/>
        </w:rPr>
        <w:t xml:space="preserve">HI, E. C. S.; GUIMARÃES, T. G.  </w:t>
      </w:r>
      <w:r w:rsidRPr="009A370F">
        <w:rPr>
          <w:rFonts w:ascii="Arial" w:hAnsi="Arial" w:cs="Arial"/>
          <w:sz w:val="20"/>
          <w:szCs w:val="20"/>
        </w:rPr>
        <w:t xml:space="preserve">Herbicidas: mecanismos de ação e uso. </w:t>
      </w:r>
      <w:r w:rsidRPr="009A370F">
        <w:rPr>
          <w:rFonts w:ascii="Arial" w:hAnsi="Arial" w:cs="Arial"/>
          <w:b/>
          <w:sz w:val="20"/>
          <w:szCs w:val="20"/>
        </w:rPr>
        <w:t xml:space="preserve">Documentos, </w:t>
      </w:r>
      <w:r w:rsidRPr="009A370F">
        <w:rPr>
          <w:rFonts w:ascii="Arial" w:hAnsi="Arial" w:cs="Arial"/>
          <w:sz w:val="20"/>
          <w:szCs w:val="20"/>
        </w:rPr>
        <w:t>Embrapa Cerrados</w:t>
      </w:r>
      <w:r w:rsidR="009933BC" w:rsidRPr="009A370F">
        <w:rPr>
          <w:rFonts w:ascii="Arial" w:hAnsi="Arial" w:cs="Arial"/>
          <w:sz w:val="20"/>
          <w:szCs w:val="20"/>
        </w:rPr>
        <w:t>.</w:t>
      </w:r>
      <w:r w:rsidR="008B5A4B" w:rsidRPr="009A370F">
        <w:rPr>
          <w:rFonts w:ascii="Arial" w:hAnsi="Arial" w:cs="Arial"/>
          <w:sz w:val="20"/>
          <w:szCs w:val="20"/>
        </w:rPr>
        <w:t xml:space="preserve"> Planaltina, DF, 2008. p</w:t>
      </w:r>
      <w:r w:rsidRPr="009A370F">
        <w:rPr>
          <w:rFonts w:ascii="Arial" w:hAnsi="Arial" w:cs="Arial"/>
          <w:sz w:val="20"/>
          <w:szCs w:val="20"/>
        </w:rPr>
        <w:t>.36</w:t>
      </w:r>
      <w:r w:rsidR="008B5A4B" w:rsidRPr="009A370F">
        <w:rPr>
          <w:rFonts w:ascii="Arial" w:hAnsi="Arial" w:cs="Arial"/>
          <w:sz w:val="20"/>
          <w:szCs w:val="20"/>
        </w:rPr>
        <w:t>.</w:t>
      </w:r>
    </w:p>
    <w:p w:rsidR="00B657E5" w:rsidRPr="009A370F" w:rsidRDefault="00B657E5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950B93" w:rsidRPr="009A370F" w:rsidRDefault="008B5A4B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370F">
        <w:rPr>
          <w:rFonts w:ascii="Arial" w:hAnsi="Arial" w:cs="Arial"/>
          <w:sz w:val="20"/>
          <w:szCs w:val="20"/>
        </w:rPr>
        <w:t>MELO, M. S. C. de</w:t>
      </w:r>
      <w:r w:rsidR="00FA17C6" w:rsidRPr="009A370F">
        <w:rPr>
          <w:rFonts w:ascii="Arial" w:hAnsi="Arial" w:cs="Arial"/>
          <w:sz w:val="20"/>
          <w:szCs w:val="20"/>
        </w:rPr>
        <w:t xml:space="preserve">; ROSA, L. E.; BRUNHARO, C. A. de C. G.; NICOLAI, M.; CHRISTOFFOLETI, P. J.  </w:t>
      </w:r>
      <w:r w:rsidR="00950B93" w:rsidRPr="009A370F">
        <w:rPr>
          <w:rFonts w:ascii="Arial" w:hAnsi="Arial" w:cs="Arial"/>
          <w:sz w:val="20"/>
          <w:szCs w:val="20"/>
        </w:rPr>
        <w:t>Alternativas para o controle químico de capim-amargoso (</w:t>
      </w:r>
      <w:r w:rsidR="00950B93" w:rsidRPr="009A370F">
        <w:rPr>
          <w:rFonts w:ascii="Arial" w:hAnsi="Arial" w:cs="Arial"/>
          <w:i/>
          <w:sz w:val="20"/>
          <w:szCs w:val="20"/>
        </w:rPr>
        <w:t>Digitaria insularis</w:t>
      </w:r>
      <w:r w:rsidR="00950B93" w:rsidRPr="009A370F">
        <w:rPr>
          <w:rFonts w:ascii="Arial" w:hAnsi="Arial" w:cs="Arial"/>
          <w:sz w:val="20"/>
          <w:szCs w:val="20"/>
        </w:rPr>
        <w:t xml:space="preserve">) resistente ao glyphosate. </w:t>
      </w:r>
      <w:r w:rsidR="00950B93" w:rsidRPr="009A370F">
        <w:rPr>
          <w:rFonts w:ascii="Arial" w:hAnsi="Arial" w:cs="Arial"/>
          <w:b/>
          <w:sz w:val="20"/>
          <w:szCs w:val="20"/>
        </w:rPr>
        <w:t xml:space="preserve">Revista Brasileira de Herbicidas, </w:t>
      </w:r>
      <w:r w:rsidR="00950B93" w:rsidRPr="009A370F">
        <w:rPr>
          <w:rFonts w:ascii="Arial" w:hAnsi="Arial" w:cs="Arial"/>
          <w:sz w:val="20"/>
          <w:szCs w:val="20"/>
        </w:rPr>
        <w:t>v. 11, n.2, p. 195-203, mai</w:t>
      </w:r>
      <w:r w:rsidR="00FA17C6" w:rsidRPr="009A370F">
        <w:rPr>
          <w:rFonts w:ascii="Arial" w:hAnsi="Arial" w:cs="Arial"/>
          <w:sz w:val="20"/>
          <w:szCs w:val="20"/>
        </w:rPr>
        <w:t>.</w:t>
      </w:r>
      <w:r w:rsidR="00950B93" w:rsidRPr="009A370F">
        <w:rPr>
          <w:rFonts w:ascii="Arial" w:hAnsi="Arial" w:cs="Arial"/>
          <w:sz w:val="20"/>
          <w:szCs w:val="20"/>
        </w:rPr>
        <w:t>/ago. 2012.</w:t>
      </w:r>
    </w:p>
    <w:p w:rsidR="00950B93" w:rsidRPr="009A370F" w:rsidRDefault="00950B93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3E7869" w:rsidRPr="009A370F" w:rsidRDefault="00FA17C6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370F">
        <w:rPr>
          <w:rFonts w:ascii="Arial" w:hAnsi="Arial" w:cs="Arial"/>
          <w:sz w:val="20"/>
          <w:szCs w:val="20"/>
        </w:rPr>
        <w:t xml:space="preserve">MOREIRA, M. S.; MELO, M. S. C.; CARVALHO, S. J. P.; NICOLAI, M.; CHRISTOFFOLETI, </w:t>
      </w:r>
      <w:r w:rsidR="001453AF" w:rsidRPr="009A370F">
        <w:rPr>
          <w:rFonts w:ascii="Arial" w:hAnsi="Arial" w:cs="Arial"/>
          <w:sz w:val="20"/>
          <w:szCs w:val="20"/>
        </w:rPr>
        <w:t xml:space="preserve">P. J.  </w:t>
      </w:r>
      <w:r w:rsidR="003E7869" w:rsidRPr="009A370F">
        <w:rPr>
          <w:rFonts w:ascii="Arial" w:hAnsi="Arial" w:cs="Arial"/>
          <w:sz w:val="20"/>
          <w:szCs w:val="20"/>
        </w:rPr>
        <w:t xml:space="preserve">Herbicidas alternativos para controle de biótipos de </w:t>
      </w:r>
      <w:r w:rsidR="003E7869" w:rsidRPr="009A370F">
        <w:rPr>
          <w:rFonts w:ascii="Arial" w:hAnsi="Arial" w:cs="Arial"/>
          <w:i/>
          <w:sz w:val="20"/>
          <w:szCs w:val="20"/>
        </w:rPr>
        <w:t>Conyzabonariensis</w:t>
      </w:r>
      <w:r w:rsidR="003E7869" w:rsidRPr="009A370F">
        <w:rPr>
          <w:rFonts w:ascii="Arial" w:hAnsi="Arial" w:cs="Arial"/>
          <w:sz w:val="20"/>
          <w:szCs w:val="20"/>
        </w:rPr>
        <w:t xml:space="preserve">e </w:t>
      </w:r>
      <w:r w:rsidR="003E7869" w:rsidRPr="009A370F">
        <w:rPr>
          <w:rFonts w:ascii="Arial" w:hAnsi="Arial" w:cs="Arial"/>
          <w:i/>
          <w:sz w:val="20"/>
          <w:szCs w:val="20"/>
        </w:rPr>
        <w:t>C. canadensis</w:t>
      </w:r>
      <w:r w:rsidR="003E7869" w:rsidRPr="009A370F">
        <w:rPr>
          <w:rFonts w:ascii="Arial" w:hAnsi="Arial" w:cs="Arial"/>
          <w:sz w:val="20"/>
          <w:szCs w:val="20"/>
        </w:rPr>
        <w:t xml:space="preserve">resistentes ao glyphosate. </w:t>
      </w:r>
      <w:r w:rsidR="001453AF" w:rsidRPr="009A370F">
        <w:rPr>
          <w:rFonts w:ascii="Arial" w:hAnsi="Arial" w:cs="Arial"/>
          <w:b/>
          <w:sz w:val="20"/>
          <w:szCs w:val="20"/>
        </w:rPr>
        <w:t>Planta Daninha,</w:t>
      </w:r>
      <w:r w:rsidR="005823C7" w:rsidRPr="009A370F">
        <w:rPr>
          <w:rFonts w:ascii="Arial" w:hAnsi="Arial" w:cs="Arial"/>
          <w:sz w:val="20"/>
          <w:szCs w:val="20"/>
        </w:rPr>
        <w:t>Viçosa-MG, v. 28, n.1, p. 167-175, 2010.</w:t>
      </w:r>
    </w:p>
    <w:p w:rsidR="00FE4E7B" w:rsidRPr="009A370F" w:rsidRDefault="00FE4E7B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C87D64" w:rsidRPr="009A370F" w:rsidRDefault="00EE4F0C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764E2">
        <w:rPr>
          <w:rFonts w:ascii="Arial" w:hAnsi="Arial" w:cs="Arial"/>
          <w:sz w:val="20"/>
          <w:szCs w:val="20"/>
          <w:lang w:val="fr-FR"/>
        </w:rPr>
        <w:t xml:space="preserve">ROMAN, E.S.; VARGAS, L.; RIZZARDI, M. A.; MATTEI, R. W.  </w:t>
      </w:r>
      <w:r w:rsidR="00C87D64" w:rsidRPr="009A370F">
        <w:rPr>
          <w:rFonts w:ascii="Arial" w:hAnsi="Arial" w:cs="Arial"/>
          <w:sz w:val="20"/>
          <w:szCs w:val="20"/>
        </w:rPr>
        <w:t>Resistência de azevém (</w:t>
      </w:r>
      <w:r w:rsidR="00C87D64" w:rsidRPr="009A370F">
        <w:rPr>
          <w:rFonts w:ascii="Arial" w:hAnsi="Arial" w:cs="Arial"/>
          <w:i/>
          <w:sz w:val="20"/>
          <w:szCs w:val="20"/>
        </w:rPr>
        <w:t>Loliummultiflorum</w:t>
      </w:r>
      <w:r w:rsidR="00C87D64" w:rsidRPr="009A370F">
        <w:rPr>
          <w:rFonts w:ascii="Arial" w:hAnsi="Arial" w:cs="Arial"/>
          <w:sz w:val="20"/>
          <w:szCs w:val="20"/>
        </w:rPr>
        <w:t xml:space="preserve">) ao herbicida glyphosate. </w:t>
      </w:r>
      <w:r w:rsidR="00C87D64" w:rsidRPr="009A370F">
        <w:rPr>
          <w:rFonts w:ascii="Arial" w:hAnsi="Arial" w:cs="Arial"/>
          <w:b/>
          <w:sz w:val="20"/>
          <w:szCs w:val="20"/>
        </w:rPr>
        <w:t>Planta Daninha</w:t>
      </w:r>
      <w:r w:rsidR="00C87D64" w:rsidRPr="009A370F">
        <w:rPr>
          <w:rFonts w:ascii="Arial" w:hAnsi="Arial" w:cs="Arial"/>
          <w:sz w:val="20"/>
          <w:szCs w:val="20"/>
        </w:rPr>
        <w:t xml:space="preserve">, </w:t>
      </w:r>
      <w:r w:rsidRPr="009A370F">
        <w:rPr>
          <w:rFonts w:ascii="Arial" w:hAnsi="Arial" w:cs="Arial"/>
          <w:sz w:val="20"/>
          <w:szCs w:val="20"/>
        </w:rPr>
        <w:t xml:space="preserve">Viçosa-MG, v. </w:t>
      </w:r>
      <w:r w:rsidR="00C87D64" w:rsidRPr="009A370F">
        <w:rPr>
          <w:rFonts w:ascii="Arial" w:hAnsi="Arial" w:cs="Arial"/>
          <w:sz w:val="20"/>
          <w:szCs w:val="20"/>
        </w:rPr>
        <w:t>22,</w:t>
      </w:r>
      <w:r w:rsidRPr="009A370F">
        <w:rPr>
          <w:rFonts w:ascii="Arial" w:hAnsi="Arial" w:cs="Arial"/>
          <w:sz w:val="20"/>
          <w:szCs w:val="20"/>
        </w:rPr>
        <w:t xml:space="preserve"> n. 2</w:t>
      </w:r>
      <w:r w:rsidR="00C87D64" w:rsidRPr="009A370F">
        <w:rPr>
          <w:rFonts w:ascii="Arial" w:hAnsi="Arial" w:cs="Arial"/>
          <w:sz w:val="20"/>
          <w:szCs w:val="20"/>
        </w:rPr>
        <w:t xml:space="preserve"> p.301-306, 2004.</w:t>
      </w:r>
    </w:p>
    <w:p w:rsidR="00C87D64" w:rsidRPr="009A370F" w:rsidRDefault="00C87D64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D52AF" w:rsidRPr="009A370F" w:rsidRDefault="00EE4F0C" w:rsidP="00B92315">
      <w:pPr>
        <w:spacing w:line="480" w:lineRule="auto"/>
        <w:jc w:val="both"/>
        <w:rPr>
          <w:rFonts w:ascii="Arial" w:hAnsi="Arial" w:cs="Arial"/>
          <w:i/>
          <w:sz w:val="20"/>
          <w:szCs w:val="20"/>
        </w:rPr>
      </w:pPr>
      <w:r w:rsidRPr="009A370F">
        <w:rPr>
          <w:rFonts w:ascii="Arial" w:hAnsi="Arial" w:cs="Arial"/>
          <w:sz w:val="20"/>
          <w:szCs w:val="20"/>
        </w:rPr>
        <w:t xml:space="preserve">RUAS, R. A. A.; LIMA, J. C. L.; </w:t>
      </w:r>
      <w:r w:rsidR="00827339" w:rsidRPr="009A370F">
        <w:rPr>
          <w:rFonts w:ascii="Arial" w:hAnsi="Arial" w:cs="Arial"/>
          <w:sz w:val="20"/>
          <w:szCs w:val="20"/>
        </w:rPr>
        <w:t>APPELT, M. F.; DEZORDI, L. R.  C</w:t>
      </w:r>
      <w:r w:rsidR="000D52AF" w:rsidRPr="009A370F">
        <w:rPr>
          <w:rFonts w:ascii="Arial" w:hAnsi="Arial" w:cs="Arial"/>
          <w:sz w:val="20"/>
          <w:szCs w:val="20"/>
        </w:rPr>
        <w:t xml:space="preserve">ontrole de </w:t>
      </w:r>
      <w:r w:rsidR="000D52AF" w:rsidRPr="009A370F">
        <w:rPr>
          <w:rFonts w:ascii="Arial" w:hAnsi="Arial" w:cs="Arial"/>
          <w:i/>
          <w:sz w:val="20"/>
          <w:szCs w:val="20"/>
        </w:rPr>
        <w:t>Brachiaria</w:t>
      </w:r>
      <w:r w:rsidR="003E7869" w:rsidRPr="009A370F">
        <w:rPr>
          <w:rFonts w:ascii="Arial" w:hAnsi="Arial" w:cs="Arial"/>
          <w:i/>
          <w:sz w:val="20"/>
          <w:szCs w:val="20"/>
        </w:rPr>
        <w:t>decumbens</w:t>
      </w:r>
      <w:r w:rsidR="003E7869" w:rsidRPr="009A370F">
        <w:rPr>
          <w:rFonts w:ascii="Arial" w:hAnsi="Arial" w:cs="Arial"/>
          <w:sz w:val="20"/>
          <w:szCs w:val="20"/>
        </w:rPr>
        <w:t xml:space="preserve">Stapf com adição de uréiaà caldo do glifosato. </w:t>
      </w:r>
      <w:r w:rsidR="003E7869" w:rsidRPr="009A370F">
        <w:rPr>
          <w:rFonts w:ascii="Arial" w:hAnsi="Arial" w:cs="Arial"/>
          <w:b/>
          <w:sz w:val="20"/>
          <w:szCs w:val="20"/>
        </w:rPr>
        <w:t xml:space="preserve">Pesquisa Agropecuária Tropical. </w:t>
      </w:r>
      <w:r w:rsidR="003E7869" w:rsidRPr="009A370F">
        <w:rPr>
          <w:rFonts w:ascii="Arial" w:hAnsi="Arial" w:cs="Arial"/>
          <w:sz w:val="20"/>
          <w:szCs w:val="20"/>
        </w:rPr>
        <w:t>Goiânia, v. 42, n. 4, p. 455-461, out./dez. 2012.</w:t>
      </w:r>
    </w:p>
    <w:p w:rsidR="00FE4E7B" w:rsidRPr="009A370F" w:rsidRDefault="00FE4E7B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C87D64" w:rsidRPr="009A370F" w:rsidRDefault="00EE4F0C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A370F">
        <w:rPr>
          <w:rFonts w:ascii="Arial" w:hAnsi="Arial" w:cs="Arial"/>
          <w:sz w:val="20"/>
          <w:szCs w:val="20"/>
        </w:rPr>
        <w:lastRenderedPageBreak/>
        <w:t>VARGAS, L.;</w:t>
      </w:r>
      <w:r w:rsidR="00733CB9" w:rsidRPr="009A370F">
        <w:rPr>
          <w:rFonts w:ascii="Arial" w:hAnsi="Arial" w:cs="Arial"/>
          <w:sz w:val="20"/>
          <w:szCs w:val="20"/>
        </w:rPr>
        <w:t xml:space="preserve"> ROMAN, E. S.; RIZZARDI, M. A.; SILVA, V. C.  </w:t>
      </w:r>
      <w:r w:rsidR="00F73BEC" w:rsidRPr="009A370F">
        <w:rPr>
          <w:rFonts w:ascii="Arial" w:hAnsi="Arial" w:cs="Arial"/>
          <w:sz w:val="20"/>
          <w:szCs w:val="20"/>
        </w:rPr>
        <w:t>Identificação de biótipos de azevém (</w:t>
      </w:r>
      <w:r w:rsidR="00F73BEC" w:rsidRPr="009A370F">
        <w:rPr>
          <w:rFonts w:ascii="Arial" w:hAnsi="Arial" w:cs="Arial"/>
          <w:i/>
          <w:sz w:val="20"/>
          <w:szCs w:val="20"/>
        </w:rPr>
        <w:t xml:space="preserve">Loliummultiflorum) </w:t>
      </w:r>
      <w:r w:rsidR="00F73BEC" w:rsidRPr="009A370F">
        <w:rPr>
          <w:rFonts w:ascii="Arial" w:hAnsi="Arial" w:cs="Arial"/>
          <w:sz w:val="20"/>
          <w:szCs w:val="20"/>
        </w:rPr>
        <w:t>resistentes ao herbicida glifosato em pomares de maça.</w:t>
      </w:r>
      <w:r w:rsidR="008B5F82" w:rsidRPr="009A370F">
        <w:rPr>
          <w:rFonts w:ascii="Arial" w:hAnsi="Arial" w:cs="Arial"/>
          <w:b/>
          <w:sz w:val="20"/>
          <w:szCs w:val="20"/>
        </w:rPr>
        <w:t xml:space="preserve">Planta Daninha, </w:t>
      </w:r>
      <w:r w:rsidR="008B5F82" w:rsidRPr="009A370F">
        <w:rPr>
          <w:rFonts w:ascii="Arial" w:hAnsi="Arial" w:cs="Arial"/>
          <w:sz w:val="20"/>
          <w:szCs w:val="20"/>
        </w:rPr>
        <w:t>Viçosa</w:t>
      </w:r>
      <w:r w:rsidR="00754B57" w:rsidRPr="009A370F">
        <w:rPr>
          <w:rFonts w:ascii="Arial" w:hAnsi="Arial" w:cs="Arial"/>
          <w:sz w:val="20"/>
          <w:szCs w:val="20"/>
        </w:rPr>
        <w:t>-</w:t>
      </w:r>
      <w:r w:rsidR="008B5F82" w:rsidRPr="009A370F">
        <w:rPr>
          <w:rFonts w:ascii="Arial" w:hAnsi="Arial" w:cs="Arial"/>
          <w:sz w:val="20"/>
          <w:szCs w:val="20"/>
        </w:rPr>
        <w:t>MG, v.22, n.4, p. 617-622, 2004.</w:t>
      </w:r>
    </w:p>
    <w:p w:rsidR="00FE637D" w:rsidRPr="009A370F" w:rsidRDefault="00FE637D" w:rsidP="00B9231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FE637D" w:rsidRPr="009A370F" w:rsidRDefault="00754B57" w:rsidP="00754B57">
      <w:pPr>
        <w:spacing w:line="480" w:lineRule="auto"/>
        <w:rPr>
          <w:rFonts w:ascii="Arial" w:hAnsi="Arial" w:cs="Arial"/>
          <w:sz w:val="20"/>
          <w:szCs w:val="20"/>
        </w:rPr>
      </w:pPr>
      <w:r w:rsidRPr="000501C7">
        <w:rPr>
          <w:rFonts w:ascii="Arial" w:hAnsi="Arial" w:cs="Arial"/>
          <w:sz w:val="20"/>
          <w:szCs w:val="20"/>
          <w:lang w:val="en-US"/>
        </w:rPr>
        <w:t xml:space="preserve">VIDAL, R.; RAINERO, H. P.; KALSING, A.; TREZZI, M. M.  </w:t>
      </w:r>
      <w:r w:rsidRPr="009764E2">
        <w:rPr>
          <w:rFonts w:ascii="Arial" w:hAnsi="Arial" w:cs="Arial"/>
          <w:sz w:val="20"/>
          <w:szCs w:val="20"/>
          <w:lang w:val="es-ES_tradnl"/>
        </w:rPr>
        <w:t>P</w:t>
      </w:r>
      <w:r w:rsidR="00FE637D" w:rsidRPr="009764E2">
        <w:rPr>
          <w:rFonts w:ascii="Arial" w:hAnsi="Arial" w:cs="Arial"/>
          <w:sz w:val="20"/>
          <w:szCs w:val="20"/>
          <w:lang w:val="es-ES_tradnl"/>
        </w:rPr>
        <w:t xml:space="preserve">rospección de las combinaciones de herbicidas para prevenir malezas tolerantes x resistentes al glifosato. </w:t>
      </w:r>
      <w:r w:rsidR="00FE637D" w:rsidRPr="009A370F">
        <w:rPr>
          <w:rFonts w:ascii="Arial" w:hAnsi="Arial" w:cs="Arial"/>
          <w:b/>
          <w:sz w:val="20"/>
          <w:szCs w:val="20"/>
        </w:rPr>
        <w:t xml:space="preserve">Planta Daninha. </w:t>
      </w:r>
      <w:r w:rsidR="00FE637D" w:rsidRPr="009A370F">
        <w:rPr>
          <w:rFonts w:ascii="Arial" w:hAnsi="Arial" w:cs="Arial"/>
          <w:sz w:val="20"/>
          <w:szCs w:val="20"/>
        </w:rPr>
        <w:t>Viçosa-MG, v. 28, n. 1, p. 159-165, 2010.</w:t>
      </w:r>
    </w:p>
    <w:sectPr w:rsidR="00FE637D" w:rsidRPr="009A370F" w:rsidSect="009A370F">
      <w:footerReference w:type="default" r:id="rId12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47" w:rsidRDefault="00891547" w:rsidP="0040439A">
      <w:r>
        <w:separator/>
      </w:r>
    </w:p>
  </w:endnote>
  <w:endnote w:type="continuationSeparator" w:id="0">
    <w:p w:rsidR="00891547" w:rsidRDefault="00891547" w:rsidP="0040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918" w:rsidRDefault="00E86F15">
    <w:pPr>
      <w:pStyle w:val="Rodap"/>
      <w:jc w:val="right"/>
    </w:pPr>
    <w:r>
      <w:fldChar w:fldCharType="begin"/>
    </w:r>
    <w:r w:rsidR="00273059">
      <w:instrText>PAGE   \* MERGEFORMAT</w:instrText>
    </w:r>
    <w:r>
      <w:fldChar w:fldCharType="separate"/>
    </w:r>
    <w:r w:rsidR="008777B4">
      <w:rPr>
        <w:noProof/>
      </w:rPr>
      <w:t>1</w:t>
    </w:r>
    <w:r>
      <w:rPr>
        <w:noProof/>
      </w:rPr>
      <w:fldChar w:fldCharType="end"/>
    </w:r>
  </w:p>
  <w:p w:rsidR="00BE6918" w:rsidRDefault="00BE69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47" w:rsidRDefault="00891547" w:rsidP="0040439A">
      <w:r>
        <w:separator/>
      </w:r>
    </w:p>
  </w:footnote>
  <w:footnote w:type="continuationSeparator" w:id="0">
    <w:p w:rsidR="00891547" w:rsidRDefault="00891547" w:rsidP="00404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A4"/>
    <w:rsid w:val="00001BC3"/>
    <w:rsid w:val="000030D2"/>
    <w:rsid w:val="000042E7"/>
    <w:rsid w:val="000123F5"/>
    <w:rsid w:val="0001794F"/>
    <w:rsid w:val="00022145"/>
    <w:rsid w:val="0002521A"/>
    <w:rsid w:val="000270CB"/>
    <w:rsid w:val="0002721F"/>
    <w:rsid w:val="000273F9"/>
    <w:rsid w:val="000325D3"/>
    <w:rsid w:val="0003269D"/>
    <w:rsid w:val="00034389"/>
    <w:rsid w:val="000353FD"/>
    <w:rsid w:val="000361FA"/>
    <w:rsid w:val="00037AB7"/>
    <w:rsid w:val="000401FE"/>
    <w:rsid w:val="000474CA"/>
    <w:rsid w:val="000501C7"/>
    <w:rsid w:val="00050971"/>
    <w:rsid w:val="00054086"/>
    <w:rsid w:val="00054AF9"/>
    <w:rsid w:val="0005666C"/>
    <w:rsid w:val="00057A43"/>
    <w:rsid w:val="00061EC2"/>
    <w:rsid w:val="0006232B"/>
    <w:rsid w:val="000651BC"/>
    <w:rsid w:val="000676D7"/>
    <w:rsid w:val="0007028D"/>
    <w:rsid w:val="00073EA2"/>
    <w:rsid w:val="00076123"/>
    <w:rsid w:val="00083AF3"/>
    <w:rsid w:val="00084A05"/>
    <w:rsid w:val="0008537D"/>
    <w:rsid w:val="0009355A"/>
    <w:rsid w:val="00096458"/>
    <w:rsid w:val="00096985"/>
    <w:rsid w:val="00096EA4"/>
    <w:rsid w:val="000A1CDC"/>
    <w:rsid w:val="000A5AD6"/>
    <w:rsid w:val="000A6BF5"/>
    <w:rsid w:val="000B04D2"/>
    <w:rsid w:val="000B0972"/>
    <w:rsid w:val="000B0F81"/>
    <w:rsid w:val="000B154E"/>
    <w:rsid w:val="000B35B0"/>
    <w:rsid w:val="000B7922"/>
    <w:rsid w:val="000C0634"/>
    <w:rsid w:val="000C0F51"/>
    <w:rsid w:val="000C1093"/>
    <w:rsid w:val="000C4320"/>
    <w:rsid w:val="000C4A51"/>
    <w:rsid w:val="000C606D"/>
    <w:rsid w:val="000D129A"/>
    <w:rsid w:val="000D3170"/>
    <w:rsid w:val="000D32D6"/>
    <w:rsid w:val="000D3356"/>
    <w:rsid w:val="000D471D"/>
    <w:rsid w:val="000D4BA4"/>
    <w:rsid w:val="000D5241"/>
    <w:rsid w:val="000D52AF"/>
    <w:rsid w:val="000E29F4"/>
    <w:rsid w:val="000E3E9F"/>
    <w:rsid w:val="000E712B"/>
    <w:rsid w:val="000F0423"/>
    <w:rsid w:val="000F0E92"/>
    <w:rsid w:val="000F24C5"/>
    <w:rsid w:val="000F5F47"/>
    <w:rsid w:val="001010D3"/>
    <w:rsid w:val="001022FE"/>
    <w:rsid w:val="00105B38"/>
    <w:rsid w:val="0010653A"/>
    <w:rsid w:val="001078AD"/>
    <w:rsid w:val="001125F3"/>
    <w:rsid w:val="00116411"/>
    <w:rsid w:val="00116C43"/>
    <w:rsid w:val="00123741"/>
    <w:rsid w:val="00125912"/>
    <w:rsid w:val="00127054"/>
    <w:rsid w:val="00131A7C"/>
    <w:rsid w:val="00133281"/>
    <w:rsid w:val="001356F7"/>
    <w:rsid w:val="00135A1C"/>
    <w:rsid w:val="001363E1"/>
    <w:rsid w:val="00137936"/>
    <w:rsid w:val="0014080D"/>
    <w:rsid w:val="00140A65"/>
    <w:rsid w:val="00144619"/>
    <w:rsid w:val="001453AF"/>
    <w:rsid w:val="00145F2E"/>
    <w:rsid w:val="001501A0"/>
    <w:rsid w:val="00150FD7"/>
    <w:rsid w:val="00152AD5"/>
    <w:rsid w:val="00155A57"/>
    <w:rsid w:val="001641A9"/>
    <w:rsid w:val="00166EF2"/>
    <w:rsid w:val="001677DA"/>
    <w:rsid w:val="00170069"/>
    <w:rsid w:val="001707AB"/>
    <w:rsid w:val="00171A09"/>
    <w:rsid w:val="00181924"/>
    <w:rsid w:val="00184332"/>
    <w:rsid w:val="00187721"/>
    <w:rsid w:val="0019240C"/>
    <w:rsid w:val="001A0605"/>
    <w:rsid w:val="001A4C91"/>
    <w:rsid w:val="001A7DC5"/>
    <w:rsid w:val="001B334D"/>
    <w:rsid w:val="001C08B8"/>
    <w:rsid w:val="001C1755"/>
    <w:rsid w:val="001C184D"/>
    <w:rsid w:val="001C2B27"/>
    <w:rsid w:val="001C308D"/>
    <w:rsid w:val="001C7243"/>
    <w:rsid w:val="001C72C0"/>
    <w:rsid w:val="001D0781"/>
    <w:rsid w:val="001D2C5A"/>
    <w:rsid w:val="001D43C9"/>
    <w:rsid w:val="001D79F4"/>
    <w:rsid w:val="001E271C"/>
    <w:rsid w:val="001E3BA6"/>
    <w:rsid w:val="001E4461"/>
    <w:rsid w:val="001E5637"/>
    <w:rsid w:val="001F05FC"/>
    <w:rsid w:val="001F0E78"/>
    <w:rsid w:val="001F2E44"/>
    <w:rsid w:val="00201B12"/>
    <w:rsid w:val="00205515"/>
    <w:rsid w:val="002072E3"/>
    <w:rsid w:val="00210DD3"/>
    <w:rsid w:val="00210F19"/>
    <w:rsid w:val="00211969"/>
    <w:rsid w:val="002252CC"/>
    <w:rsid w:val="00227005"/>
    <w:rsid w:val="002324F2"/>
    <w:rsid w:val="00233D7E"/>
    <w:rsid w:val="0023459A"/>
    <w:rsid w:val="00234B94"/>
    <w:rsid w:val="002356D2"/>
    <w:rsid w:val="0024083B"/>
    <w:rsid w:val="00240D6F"/>
    <w:rsid w:val="00261F4B"/>
    <w:rsid w:val="00265429"/>
    <w:rsid w:val="0026614A"/>
    <w:rsid w:val="002666A9"/>
    <w:rsid w:val="00266FF3"/>
    <w:rsid w:val="002708C0"/>
    <w:rsid w:val="00271DB4"/>
    <w:rsid w:val="00272915"/>
    <w:rsid w:val="00273059"/>
    <w:rsid w:val="002743E3"/>
    <w:rsid w:val="00276B85"/>
    <w:rsid w:val="002779C8"/>
    <w:rsid w:val="0028275A"/>
    <w:rsid w:val="002832A0"/>
    <w:rsid w:val="00283A6F"/>
    <w:rsid w:val="00283CB2"/>
    <w:rsid w:val="00283FDF"/>
    <w:rsid w:val="00284A0C"/>
    <w:rsid w:val="00285930"/>
    <w:rsid w:val="00287A23"/>
    <w:rsid w:val="00295DD2"/>
    <w:rsid w:val="002A4512"/>
    <w:rsid w:val="002B00FC"/>
    <w:rsid w:val="002B0E72"/>
    <w:rsid w:val="002B5F56"/>
    <w:rsid w:val="002B6133"/>
    <w:rsid w:val="002B6ABD"/>
    <w:rsid w:val="002B78B8"/>
    <w:rsid w:val="002B78ED"/>
    <w:rsid w:val="002C3BDE"/>
    <w:rsid w:val="002C764B"/>
    <w:rsid w:val="002D013A"/>
    <w:rsid w:val="002E367F"/>
    <w:rsid w:val="002E7D8B"/>
    <w:rsid w:val="00314CE7"/>
    <w:rsid w:val="0031789D"/>
    <w:rsid w:val="00320254"/>
    <w:rsid w:val="003220D7"/>
    <w:rsid w:val="00322C67"/>
    <w:rsid w:val="00333CA6"/>
    <w:rsid w:val="0034075A"/>
    <w:rsid w:val="00340C0A"/>
    <w:rsid w:val="0034176D"/>
    <w:rsid w:val="003460F0"/>
    <w:rsid w:val="0034661F"/>
    <w:rsid w:val="00351908"/>
    <w:rsid w:val="003549DB"/>
    <w:rsid w:val="0035547D"/>
    <w:rsid w:val="003574DE"/>
    <w:rsid w:val="003625CE"/>
    <w:rsid w:val="00363340"/>
    <w:rsid w:val="00364306"/>
    <w:rsid w:val="00371E23"/>
    <w:rsid w:val="00371F16"/>
    <w:rsid w:val="00374D87"/>
    <w:rsid w:val="00376054"/>
    <w:rsid w:val="00376B0B"/>
    <w:rsid w:val="00377D41"/>
    <w:rsid w:val="003848C4"/>
    <w:rsid w:val="00392303"/>
    <w:rsid w:val="00392E39"/>
    <w:rsid w:val="00393D80"/>
    <w:rsid w:val="003946C7"/>
    <w:rsid w:val="003964CA"/>
    <w:rsid w:val="003978BC"/>
    <w:rsid w:val="003A1413"/>
    <w:rsid w:val="003A413C"/>
    <w:rsid w:val="003A451C"/>
    <w:rsid w:val="003A7D71"/>
    <w:rsid w:val="003B0BD1"/>
    <w:rsid w:val="003B5D3E"/>
    <w:rsid w:val="003C1C17"/>
    <w:rsid w:val="003C2C15"/>
    <w:rsid w:val="003C603F"/>
    <w:rsid w:val="003C760F"/>
    <w:rsid w:val="003D0205"/>
    <w:rsid w:val="003D23D4"/>
    <w:rsid w:val="003D6968"/>
    <w:rsid w:val="003E2721"/>
    <w:rsid w:val="003E3687"/>
    <w:rsid w:val="003E7869"/>
    <w:rsid w:val="003F7472"/>
    <w:rsid w:val="0040347E"/>
    <w:rsid w:val="00403C50"/>
    <w:rsid w:val="00403C59"/>
    <w:rsid w:val="0040439A"/>
    <w:rsid w:val="00407C71"/>
    <w:rsid w:val="004109D5"/>
    <w:rsid w:val="00415F76"/>
    <w:rsid w:val="004164C3"/>
    <w:rsid w:val="00432588"/>
    <w:rsid w:val="004430BE"/>
    <w:rsid w:val="004449B7"/>
    <w:rsid w:val="00451C7B"/>
    <w:rsid w:val="00451D5B"/>
    <w:rsid w:val="00456ECF"/>
    <w:rsid w:val="00460DC1"/>
    <w:rsid w:val="00461D0B"/>
    <w:rsid w:val="00461F51"/>
    <w:rsid w:val="0046404A"/>
    <w:rsid w:val="0047158C"/>
    <w:rsid w:val="00474DAF"/>
    <w:rsid w:val="004773B4"/>
    <w:rsid w:val="00484466"/>
    <w:rsid w:val="0048538B"/>
    <w:rsid w:val="00487BFA"/>
    <w:rsid w:val="00490C3F"/>
    <w:rsid w:val="0049164C"/>
    <w:rsid w:val="00493983"/>
    <w:rsid w:val="00494896"/>
    <w:rsid w:val="00497093"/>
    <w:rsid w:val="00497B04"/>
    <w:rsid w:val="004A4EA4"/>
    <w:rsid w:val="004A633E"/>
    <w:rsid w:val="004A7D0A"/>
    <w:rsid w:val="004C26A4"/>
    <w:rsid w:val="004C474B"/>
    <w:rsid w:val="004C62DA"/>
    <w:rsid w:val="004C79BD"/>
    <w:rsid w:val="004D0696"/>
    <w:rsid w:val="004D3D78"/>
    <w:rsid w:val="004E1CEA"/>
    <w:rsid w:val="004E2D43"/>
    <w:rsid w:val="004E6365"/>
    <w:rsid w:val="004F35EB"/>
    <w:rsid w:val="004F3F78"/>
    <w:rsid w:val="004F5026"/>
    <w:rsid w:val="004F67C9"/>
    <w:rsid w:val="00501C4B"/>
    <w:rsid w:val="00505633"/>
    <w:rsid w:val="00507A30"/>
    <w:rsid w:val="00510173"/>
    <w:rsid w:val="00512A53"/>
    <w:rsid w:val="00513AB7"/>
    <w:rsid w:val="0051409B"/>
    <w:rsid w:val="00526948"/>
    <w:rsid w:val="00540CF5"/>
    <w:rsid w:val="005418CB"/>
    <w:rsid w:val="0055182B"/>
    <w:rsid w:val="00552793"/>
    <w:rsid w:val="005621DD"/>
    <w:rsid w:val="00565497"/>
    <w:rsid w:val="00571729"/>
    <w:rsid w:val="00571C07"/>
    <w:rsid w:val="00572CED"/>
    <w:rsid w:val="00576D6A"/>
    <w:rsid w:val="00576D88"/>
    <w:rsid w:val="00580B24"/>
    <w:rsid w:val="00582336"/>
    <w:rsid w:val="005823C7"/>
    <w:rsid w:val="00585142"/>
    <w:rsid w:val="005A1346"/>
    <w:rsid w:val="005B0C7D"/>
    <w:rsid w:val="005B69C6"/>
    <w:rsid w:val="005B6D5B"/>
    <w:rsid w:val="005B6E78"/>
    <w:rsid w:val="005B7509"/>
    <w:rsid w:val="005C0338"/>
    <w:rsid w:val="005C723E"/>
    <w:rsid w:val="005D07DA"/>
    <w:rsid w:val="005D7048"/>
    <w:rsid w:val="005E0588"/>
    <w:rsid w:val="005E1F4C"/>
    <w:rsid w:val="005E26B7"/>
    <w:rsid w:val="005E2B57"/>
    <w:rsid w:val="005F05C1"/>
    <w:rsid w:val="005F2658"/>
    <w:rsid w:val="005F2D2A"/>
    <w:rsid w:val="005F4D8D"/>
    <w:rsid w:val="005F64EC"/>
    <w:rsid w:val="005F7D17"/>
    <w:rsid w:val="00602B4F"/>
    <w:rsid w:val="00604E56"/>
    <w:rsid w:val="006118E3"/>
    <w:rsid w:val="00621743"/>
    <w:rsid w:val="00625D0A"/>
    <w:rsid w:val="00627952"/>
    <w:rsid w:val="00631956"/>
    <w:rsid w:val="00635723"/>
    <w:rsid w:val="0063601C"/>
    <w:rsid w:val="00636AB3"/>
    <w:rsid w:val="00640258"/>
    <w:rsid w:val="00646B42"/>
    <w:rsid w:val="00650A76"/>
    <w:rsid w:val="00652C05"/>
    <w:rsid w:val="006540A8"/>
    <w:rsid w:val="00656386"/>
    <w:rsid w:val="00656DD3"/>
    <w:rsid w:val="0066198F"/>
    <w:rsid w:val="00661D2E"/>
    <w:rsid w:val="00664C10"/>
    <w:rsid w:val="0066533A"/>
    <w:rsid w:val="00665C09"/>
    <w:rsid w:val="006757A6"/>
    <w:rsid w:val="00677487"/>
    <w:rsid w:val="00681A49"/>
    <w:rsid w:val="00682EFD"/>
    <w:rsid w:val="00683ADE"/>
    <w:rsid w:val="00685536"/>
    <w:rsid w:val="006868A4"/>
    <w:rsid w:val="00687AC0"/>
    <w:rsid w:val="006903D5"/>
    <w:rsid w:val="006942E1"/>
    <w:rsid w:val="006A0EF9"/>
    <w:rsid w:val="006A2121"/>
    <w:rsid w:val="006A2F74"/>
    <w:rsid w:val="006A5834"/>
    <w:rsid w:val="006A72F3"/>
    <w:rsid w:val="006A73E1"/>
    <w:rsid w:val="006B0ABB"/>
    <w:rsid w:val="006B12DC"/>
    <w:rsid w:val="006B262D"/>
    <w:rsid w:val="006B6C9B"/>
    <w:rsid w:val="006D58EE"/>
    <w:rsid w:val="006D5B49"/>
    <w:rsid w:val="006D647D"/>
    <w:rsid w:val="006E107A"/>
    <w:rsid w:val="006F0650"/>
    <w:rsid w:val="006F49A9"/>
    <w:rsid w:val="00706A5C"/>
    <w:rsid w:val="00707526"/>
    <w:rsid w:val="00711215"/>
    <w:rsid w:val="00711B93"/>
    <w:rsid w:val="00721152"/>
    <w:rsid w:val="00721DA0"/>
    <w:rsid w:val="007249DB"/>
    <w:rsid w:val="00726BC0"/>
    <w:rsid w:val="00727E6C"/>
    <w:rsid w:val="00730169"/>
    <w:rsid w:val="00733CB9"/>
    <w:rsid w:val="0074070A"/>
    <w:rsid w:val="00740D7C"/>
    <w:rsid w:val="0074551F"/>
    <w:rsid w:val="00746C65"/>
    <w:rsid w:val="0075086E"/>
    <w:rsid w:val="00750B26"/>
    <w:rsid w:val="007534A0"/>
    <w:rsid w:val="007546AA"/>
    <w:rsid w:val="0075491D"/>
    <w:rsid w:val="00754B57"/>
    <w:rsid w:val="00757FD2"/>
    <w:rsid w:val="0076023B"/>
    <w:rsid w:val="00761190"/>
    <w:rsid w:val="007631C2"/>
    <w:rsid w:val="00765E04"/>
    <w:rsid w:val="00770237"/>
    <w:rsid w:val="0077365A"/>
    <w:rsid w:val="007742CB"/>
    <w:rsid w:val="0078007D"/>
    <w:rsid w:val="007830D0"/>
    <w:rsid w:val="00783319"/>
    <w:rsid w:val="00785CB1"/>
    <w:rsid w:val="00785F65"/>
    <w:rsid w:val="0078672C"/>
    <w:rsid w:val="0079507F"/>
    <w:rsid w:val="00795860"/>
    <w:rsid w:val="00796BF0"/>
    <w:rsid w:val="007A2A82"/>
    <w:rsid w:val="007A5F09"/>
    <w:rsid w:val="007A6B94"/>
    <w:rsid w:val="007A7CE4"/>
    <w:rsid w:val="007A7FCA"/>
    <w:rsid w:val="007B0964"/>
    <w:rsid w:val="007B10E1"/>
    <w:rsid w:val="007B1E6A"/>
    <w:rsid w:val="007B4F27"/>
    <w:rsid w:val="007C00A4"/>
    <w:rsid w:val="007C243A"/>
    <w:rsid w:val="007C35FF"/>
    <w:rsid w:val="007D46EB"/>
    <w:rsid w:val="007E1250"/>
    <w:rsid w:val="007E3E5D"/>
    <w:rsid w:val="007E428D"/>
    <w:rsid w:val="00801B17"/>
    <w:rsid w:val="00801C73"/>
    <w:rsid w:val="00803A5F"/>
    <w:rsid w:val="008076A4"/>
    <w:rsid w:val="00807D90"/>
    <w:rsid w:val="0081673D"/>
    <w:rsid w:val="008168CD"/>
    <w:rsid w:val="008177E8"/>
    <w:rsid w:val="0082026D"/>
    <w:rsid w:val="00821D1F"/>
    <w:rsid w:val="00821EE3"/>
    <w:rsid w:val="008261DB"/>
    <w:rsid w:val="00826340"/>
    <w:rsid w:val="00827339"/>
    <w:rsid w:val="008355C2"/>
    <w:rsid w:val="008357A3"/>
    <w:rsid w:val="0083682F"/>
    <w:rsid w:val="00845E7D"/>
    <w:rsid w:val="00847851"/>
    <w:rsid w:val="00850FCC"/>
    <w:rsid w:val="00851C37"/>
    <w:rsid w:val="00854A2D"/>
    <w:rsid w:val="0085734E"/>
    <w:rsid w:val="00860015"/>
    <w:rsid w:val="00860E20"/>
    <w:rsid w:val="008656BC"/>
    <w:rsid w:val="00871231"/>
    <w:rsid w:val="008717B4"/>
    <w:rsid w:val="008777B4"/>
    <w:rsid w:val="00880277"/>
    <w:rsid w:val="008802F5"/>
    <w:rsid w:val="0088112D"/>
    <w:rsid w:val="00886252"/>
    <w:rsid w:val="00891547"/>
    <w:rsid w:val="00892107"/>
    <w:rsid w:val="00892ADB"/>
    <w:rsid w:val="00896659"/>
    <w:rsid w:val="00896FF6"/>
    <w:rsid w:val="008A14D1"/>
    <w:rsid w:val="008A43E1"/>
    <w:rsid w:val="008A4555"/>
    <w:rsid w:val="008A7F47"/>
    <w:rsid w:val="008B4707"/>
    <w:rsid w:val="008B5A4B"/>
    <w:rsid w:val="008B5F82"/>
    <w:rsid w:val="008B7A11"/>
    <w:rsid w:val="008C1B12"/>
    <w:rsid w:val="008C3981"/>
    <w:rsid w:val="008C44FC"/>
    <w:rsid w:val="008D0577"/>
    <w:rsid w:val="008D069E"/>
    <w:rsid w:val="008D0788"/>
    <w:rsid w:val="008D16B0"/>
    <w:rsid w:val="008D5578"/>
    <w:rsid w:val="008D615D"/>
    <w:rsid w:val="008E17A7"/>
    <w:rsid w:val="008E416D"/>
    <w:rsid w:val="008E5EDE"/>
    <w:rsid w:val="008E65C9"/>
    <w:rsid w:val="008E77DC"/>
    <w:rsid w:val="008F499D"/>
    <w:rsid w:val="008F68A7"/>
    <w:rsid w:val="008F7BCE"/>
    <w:rsid w:val="0090028C"/>
    <w:rsid w:val="00900A1E"/>
    <w:rsid w:val="00900A78"/>
    <w:rsid w:val="00900DE5"/>
    <w:rsid w:val="009148A3"/>
    <w:rsid w:val="009237A8"/>
    <w:rsid w:val="00927D12"/>
    <w:rsid w:val="00927E5D"/>
    <w:rsid w:val="00932463"/>
    <w:rsid w:val="00934B5C"/>
    <w:rsid w:val="0093623F"/>
    <w:rsid w:val="0094744B"/>
    <w:rsid w:val="009478BB"/>
    <w:rsid w:val="00947A20"/>
    <w:rsid w:val="00950B93"/>
    <w:rsid w:val="00952E11"/>
    <w:rsid w:val="00956D20"/>
    <w:rsid w:val="0096076C"/>
    <w:rsid w:val="00961DF0"/>
    <w:rsid w:val="00965178"/>
    <w:rsid w:val="00967B45"/>
    <w:rsid w:val="00972766"/>
    <w:rsid w:val="009759A4"/>
    <w:rsid w:val="00975AC0"/>
    <w:rsid w:val="00975F77"/>
    <w:rsid w:val="009764E2"/>
    <w:rsid w:val="009806F4"/>
    <w:rsid w:val="00981824"/>
    <w:rsid w:val="00984E5D"/>
    <w:rsid w:val="00991BAE"/>
    <w:rsid w:val="009933BC"/>
    <w:rsid w:val="00993CBA"/>
    <w:rsid w:val="009958BC"/>
    <w:rsid w:val="009A0E67"/>
    <w:rsid w:val="009A370F"/>
    <w:rsid w:val="009A74D1"/>
    <w:rsid w:val="009B0F13"/>
    <w:rsid w:val="009B1EB2"/>
    <w:rsid w:val="009B348F"/>
    <w:rsid w:val="009B6F80"/>
    <w:rsid w:val="009C0420"/>
    <w:rsid w:val="009C2577"/>
    <w:rsid w:val="009C2787"/>
    <w:rsid w:val="009C4DD3"/>
    <w:rsid w:val="009C7FAC"/>
    <w:rsid w:val="009D4800"/>
    <w:rsid w:val="009E0E56"/>
    <w:rsid w:val="009E29BF"/>
    <w:rsid w:val="009E35E0"/>
    <w:rsid w:val="009E70E7"/>
    <w:rsid w:val="009F175F"/>
    <w:rsid w:val="009F1B6B"/>
    <w:rsid w:val="009F2436"/>
    <w:rsid w:val="009F286B"/>
    <w:rsid w:val="009F3010"/>
    <w:rsid w:val="009F7FC1"/>
    <w:rsid w:val="00A17B30"/>
    <w:rsid w:val="00A204A8"/>
    <w:rsid w:val="00A23F95"/>
    <w:rsid w:val="00A320F0"/>
    <w:rsid w:val="00A32C8F"/>
    <w:rsid w:val="00A34E4F"/>
    <w:rsid w:val="00A35F3C"/>
    <w:rsid w:val="00A36B1D"/>
    <w:rsid w:val="00A41B4E"/>
    <w:rsid w:val="00A45DC9"/>
    <w:rsid w:val="00A50F69"/>
    <w:rsid w:val="00A5208D"/>
    <w:rsid w:val="00A57356"/>
    <w:rsid w:val="00A61D4F"/>
    <w:rsid w:val="00A64D28"/>
    <w:rsid w:val="00A66712"/>
    <w:rsid w:val="00A741B6"/>
    <w:rsid w:val="00A80953"/>
    <w:rsid w:val="00A82806"/>
    <w:rsid w:val="00A83F91"/>
    <w:rsid w:val="00A84391"/>
    <w:rsid w:val="00A84548"/>
    <w:rsid w:val="00A8503F"/>
    <w:rsid w:val="00A86103"/>
    <w:rsid w:val="00A90403"/>
    <w:rsid w:val="00A90588"/>
    <w:rsid w:val="00A90868"/>
    <w:rsid w:val="00AA0589"/>
    <w:rsid w:val="00AA07E2"/>
    <w:rsid w:val="00AA2376"/>
    <w:rsid w:val="00AA2F63"/>
    <w:rsid w:val="00AA3F1A"/>
    <w:rsid w:val="00AA4398"/>
    <w:rsid w:val="00AA6D39"/>
    <w:rsid w:val="00AB2981"/>
    <w:rsid w:val="00AB73D5"/>
    <w:rsid w:val="00AC196D"/>
    <w:rsid w:val="00AC597B"/>
    <w:rsid w:val="00AC6C5E"/>
    <w:rsid w:val="00AE0DE2"/>
    <w:rsid w:val="00AE4E46"/>
    <w:rsid w:val="00AF3338"/>
    <w:rsid w:val="00AF79C1"/>
    <w:rsid w:val="00B015EF"/>
    <w:rsid w:val="00B02D51"/>
    <w:rsid w:val="00B037BB"/>
    <w:rsid w:val="00B0427C"/>
    <w:rsid w:val="00B06ACE"/>
    <w:rsid w:val="00B10ACC"/>
    <w:rsid w:val="00B15CD8"/>
    <w:rsid w:val="00B16CD7"/>
    <w:rsid w:val="00B21B2C"/>
    <w:rsid w:val="00B22B4F"/>
    <w:rsid w:val="00B23688"/>
    <w:rsid w:val="00B2437F"/>
    <w:rsid w:val="00B25CB8"/>
    <w:rsid w:val="00B35A57"/>
    <w:rsid w:val="00B37ABA"/>
    <w:rsid w:val="00B46067"/>
    <w:rsid w:val="00B4648E"/>
    <w:rsid w:val="00B5158E"/>
    <w:rsid w:val="00B51857"/>
    <w:rsid w:val="00B56C48"/>
    <w:rsid w:val="00B61223"/>
    <w:rsid w:val="00B61DDA"/>
    <w:rsid w:val="00B630E2"/>
    <w:rsid w:val="00B63C64"/>
    <w:rsid w:val="00B657E5"/>
    <w:rsid w:val="00B67EBE"/>
    <w:rsid w:val="00B702B2"/>
    <w:rsid w:val="00B7353E"/>
    <w:rsid w:val="00B738CB"/>
    <w:rsid w:val="00B75E53"/>
    <w:rsid w:val="00B87A66"/>
    <w:rsid w:val="00B920B2"/>
    <w:rsid w:val="00B92315"/>
    <w:rsid w:val="00B96BE5"/>
    <w:rsid w:val="00BA0C70"/>
    <w:rsid w:val="00BA5CA2"/>
    <w:rsid w:val="00BA6932"/>
    <w:rsid w:val="00BB2EF3"/>
    <w:rsid w:val="00BB3557"/>
    <w:rsid w:val="00BB59E4"/>
    <w:rsid w:val="00BC10CB"/>
    <w:rsid w:val="00BC28E8"/>
    <w:rsid w:val="00BC68B2"/>
    <w:rsid w:val="00BD1C1E"/>
    <w:rsid w:val="00BD1D83"/>
    <w:rsid w:val="00BD4437"/>
    <w:rsid w:val="00BD6118"/>
    <w:rsid w:val="00BD639C"/>
    <w:rsid w:val="00BD79A3"/>
    <w:rsid w:val="00BD7C3D"/>
    <w:rsid w:val="00BE5388"/>
    <w:rsid w:val="00BE6918"/>
    <w:rsid w:val="00BE79E4"/>
    <w:rsid w:val="00BF4691"/>
    <w:rsid w:val="00C00364"/>
    <w:rsid w:val="00C00EB9"/>
    <w:rsid w:val="00C018A4"/>
    <w:rsid w:val="00C06590"/>
    <w:rsid w:val="00C10689"/>
    <w:rsid w:val="00C12BEB"/>
    <w:rsid w:val="00C13896"/>
    <w:rsid w:val="00C16940"/>
    <w:rsid w:val="00C22B64"/>
    <w:rsid w:val="00C3137B"/>
    <w:rsid w:val="00C42ADB"/>
    <w:rsid w:val="00C43201"/>
    <w:rsid w:val="00C432C5"/>
    <w:rsid w:val="00C43AA8"/>
    <w:rsid w:val="00C4596E"/>
    <w:rsid w:val="00C4760C"/>
    <w:rsid w:val="00C51FCA"/>
    <w:rsid w:val="00C561C6"/>
    <w:rsid w:val="00C572A9"/>
    <w:rsid w:val="00C57CA6"/>
    <w:rsid w:val="00C6336E"/>
    <w:rsid w:val="00C63671"/>
    <w:rsid w:val="00C637DA"/>
    <w:rsid w:val="00C725C7"/>
    <w:rsid w:val="00C7457C"/>
    <w:rsid w:val="00C82A81"/>
    <w:rsid w:val="00C82DC0"/>
    <w:rsid w:val="00C86498"/>
    <w:rsid w:val="00C87D64"/>
    <w:rsid w:val="00C902EB"/>
    <w:rsid w:val="00C90669"/>
    <w:rsid w:val="00C90AB5"/>
    <w:rsid w:val="00C933ED"/>
    <w:rsid w:val="00C93FBC"/>
    <w:rsid w:val="00C949A2"/>
    <w:rsid w:val="00CA0BB7"/>
    <w:rsid w:val="00CA0E8B"/>
    <w:rsid w:val="00CA15E8"/>
    <w:rsid w:val="00CA3456"/>
    <w:rsid w:val="00CA480C"/>
    <w:rsid w:val="00CA71D4"/>
    <w:rsid w:val="00CB12B9"/>
    <w:rsid w:val="00CB2F8B"/>
    <w:rsid w:val="00CB4740"/>
    <w:rsid w:val="00CB68B9"/>
    <w:rsid w:val="00CE3200"/>
    <w:rsid w:val="00CE4E88"/>
    <w:rsid w:val="00CE5D8F"/>
    <w:rsid w:val="00CE7DF9"/>
    <w:rsid w:val="00CF16BB"/>
    <w:rsid w:val="00CF25FB"/>
    <w:rsid w:val="00CF38A0"/>
    <w:rsid w:val="00CF586A"/>
    <w:rsid w:val="00CF678C"/>
    <w:rsid w:val="00CF7EF9"/>
    <w:rsid w:val="00D00176"/>
    <w:rsid w:val="00D03AD6"/>
    <w:rsid w:val="00D05FBF"/>
    <w:rsid w:val="00D066B6"/>
    <w:rsid w:val="00D10878"/>
    <w:rsid w:val="00D11971"/>
    <w:rsid w:val="00D14629"/>
    <w:rsid w:val="00D14E32"/>
    <w:rsid w:val="00D14F7D"/>
    <w:rsid w:val="00D1530F"/>
    <w:rsid w:val="00D1797E"/>
    <w:rsid w:val="00D17AFA"/>
    <w:rsid w:val="00D20770"/>
    <w:rsid w:val="00D207EA"/>
    <w:rsid w:val="00D22E5F"/>
    <w:rsid w:val="00D322C8"/>
    <w:rsid w:val="00D34F31"/>
    <w:rsid w:val="00D41067"/>
    <w:rsid w:val="00D41346"/>
    <w:rsid w:val="00D472F2"/>
    <w:rsid w:val="00D50D31"/>
    <w:rsid w:val="00D51C02"/>
    <w:rsid w:val="00D51D59"/>
    <w:rsid w:val="00D53BF8"/>
    <w:rsid w:val="00D546F8"/>
    <w:rsid w:val="00D55CB0"/>
    <w:rsid w:val="00D5631F"/>
    <w:rsid w:val="00D644FF"/>
    <w:rsid w:val="00D64D7D"/>
    <w:rsid w:val="00D7118D"/>
    <w:rsid w:val="00D77DB9"/>
    <w:rsid w:val="00D80D39"/>
    <w:rsid w:val="00D8130D"/>
    <w:rsid w:val="00D850B9"/>
    <w:rsid w:val="00D856C9"/>
    <w:rsid w:val="00D90485"/>
    <w:rsid w:val="00D9430E"/>
    <w:rsid w:val="00DB1EA8"/>
    <w:rsid w:val="00DB3940"/>
    <w:rsid w:val="00DB7A64"/>
    <w:rsid w:val="00DC2197"/>
    <w:rsid w:val="00DC4C83"/>
    <w:rsid w:val="00DC63CA"/>
    <w:rsid w:val="00DC652D"/>
    <w:rsid w:val="00DD118F"/>
    <w:rsid w:val="00DD655D"/>
    <w:rsid w:val="00DD68B5"/>
    <w:rsid w:val="00DE16AF"/>
    <w:rsid w:val="00DE3DFF"/>
    <w:rsid w:val="00DE4025"/>
    <w:rsid w:val="00DF16EC"/>
    <w:rsid w:val="00DF452D"/>
    <w:rsid w:val="00E061B9"/>
    <w:rsid w:val="00E10779"/>
    <w:rsid w:val="00E11924"/>
    <w:rsid w:val="00E14092"/>
    <w:rsid w:val="00E22CD6"/>
    <w:rsid w:val="00E231CC"/>
    <w:rsid w:val="00E2669D"/>
    <w:rsid w:val="00E321EE"/>
    <w:rsid w:val="00E43333"/>
    <w:rsid w:val="00E4402F"/>
    <w:rsid w:val="00E51045"/>
    <w:rsid w:val="00E631A5"/>
    <w:rsid w:val="00E6426C"/>
    <w:rsid w:val="00E67791"/>
    <w:rsid w:val="00E742FE"/>
    <w:rsid w:val="00E803C7"/>
    <w:rsid w:val="00E840F3"/>
    <w:rsid w:val="00E8560E"/>
    <w:rsid w:val="00E86F15"/>
    <w:rsid w:val="00E8759A"/>
    <w:rsid w:val="00E91CCC"/>
    <w:rsid w:val="00E92D71"/>
    <w:rsid w:val="00E93B7A"/>
    <w:rsid w:val="00E96CD3"/>
    <w:rsid w:val="00EA108B"/>
    <w:rsid w:val="00EA3933"/>
    <w:rsid w:val="00EA6D8F"/>
    <w:rsid w:val="00EB5FAF"/>
    <w:rsid w:val="00EC24AA"/>
    <w:rsid w:val="00EC3799"/>
    <w:rsid w:val="00EC6FB6"/>
    <w:rsid w:val="00ED02F9"/>
    <w:rsid w:val="00ED115C"/>
    <w:rsid w:val="00ED5FB8"/>
    <w:rsid w:val="00ED6F69"/>
    <w:rsid w:val="00ED798B"/>
    <w:rsid w:val="00EE1553"/>
    <w:rsid w:val="00EE1D38"/>
    <w:rsid w:val="00EE2AAC"/>
    <w:rsid w:val="00EE4F0C"/>
    <w:rsid w:val="00EE6618"/>
    <w:rsid w:val="00EF41A9"/>
    <w:rsid w:val="00EF476B"/>
    <w:rsid w:val="00EF4A05"/>
    <w:rsid w:val="00F00CD4"/>
    <w:rsid w:val="00F045E7"/>
    <w:rsid w:val="00F17F39"/>
    <w:rsid w:val="00F201D2"/>
    <w:rsid w:val="00F24B79"/>
    <w:rsid w:val="00F3325A"/>
    <w:rsid w:val="00F34301"/>
    <w:rsid w:val="00F37BB2"/>
    <w:rsid w:val="00F451A2"/>
    <w:rsid w:val="00F46272"/>
    <w:rsid w:val="00F475FC"/>
    <w:rsid w:val="00F62879"/>
    <w:rsid w:val="00F6313A"/>
    <w:rsid w:val="00F73BEC"/>
    <w:rsid w:val="00F77984"/>
    <w:rsid w:val="00F80196"/>
    <w:rsid w:val="00F84166"/>
    <w:rsid w:val="00F86B4A"/>
    <w:rsid w:val="00F86B57"/>
    <w:rsid w:val="00F935CF"/>
    <w:rsid w:val="00FA093C"/>
    <w:rsid w:val="00FA17C6"/>
    <w:rsid w:val="00FA6410"/>
    <w:rsid w:val="00FB08F0"/>
    <w:rsid w:val="00FB483C"/>
    <w:rsid w:val="00FB4F68"/>
    <w:rsid w:val="00FC1B40"/>
    <w:rsid w:val="00FC1B6D"/>
    <w:rsid w:val="00FC2ED0"/>
    <w:rsid w:val="00FC33BC"/>
    <w:rsid w:val="00FC505E"/>
    <w:rsid w:val="00FC62A2"/>
    <w:rsid w:val="00FD4E04"/>
    <w:rsid w:val="00FE4E7B"/>
    <w:rsid w:val="00FE61CD"/>
    <w:rsid w:val="00FE637D"/>
    <w:rsid w:val="00FF08D3"/>
    <w:rsid w:val="00FF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7CC8F-6329-4BA4-8346-00095D81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54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868A4"/>
    <w:pPr>
      <w:suppressAutoHyphens/>
      <w:ind w:firstLine="567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6868A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C68B2"/>
    <w:pPr>
      <w:spacing w:after="120" w:line="276" w:lineRule="auto"/>
    </w:pPr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BC68B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5F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125F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439A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0439A"/>
    <w:rPr>
      <w:lang w:eastAsia="en-US"/>
    </w:rPr>
  </w:style>
  <w:style w:type="character" w:styleId="Refdenotaderodap">
    <w:name w:val="footnote reference"/>
    <w:uiPriority w:val="99"/>
    <w:semiHidden/>
    <w:unhideWhenUsed/>
    <w:rsid w:val="0040439A"/>
    <w:rPr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F0E78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1F0E78"/>
    <w:rPr>
      <w:rFonts w:ascii="Tahoma" w:hAnsi="Tahoma" w:cs="Tahoma"/>
      <w:sz w:val="16"/>
      <w:szCs w:val="16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1F0E78"/>
  </w:style>
  <w:style w:type="character" w:styleId="Hyperlink">
    <w:name w:val="Hyperlink"/>
    <w:uiPriority w:val="99"/>
    <w:unhideWhenUsed/>
    <w:rsid w:val="006903D5"/>
    <w:rPr>
      <w:color w:val="0000FF"/>
      <w:u w:val="single"/>
    </w:rPr>
  </w:style>
  <w:style w:type="paragraph" w:customStyle="1" w:styleId="yiv7055431373msonormal">
    <w:name w:val="yiv7055431373msonormal"/>
    <w:basedOn w:val="Normal"/>
    <w:rsid w:val="003C76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3C760F"/>
  </w:style>
  <w:style w:type="paragraph" w:styleId="Cabealho">
    <w:name w:val="header"/>
    <w:basedOn w:val="Normal"/>
    <w:link w:val="CabealhoChar"/>
    <w:uiPriority w:val="99"/>
    <w:unhideWhenUsed/>
    <w:rsid w:val="00B923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9231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9231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92315"/>
    <w:rPr>
      <w:sz w:val="22"/>
      <w:szCs w:val="22"/>
      <w:lang w:eastAsia="en-US"/>
    </w:rPr>
  </w:style>
  <w:style w:type="paragraph" w:customStyle="1" w:styleId="Default">
    <w:name w:val="Default"/>
    <w:rsid w:val="003519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446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461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446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461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44619"/>
    <w:rPr>
      <w:b/>
      <w:bCs/>
      <w:lang w:eastAsia="en-US"/>
    </w:rPr>
  </w:style>
  <w:style w:type="paragraph" w:customStyle="1" w:styleId="yiv4515130595msonormal">
    <w:name w:val="yiv4515130595msonormal"/>
    <w:basedOn w:val="Normal"/>
    <w:rsid w:val="005F4D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3CBA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E6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eedscience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B95B-DBA4-41A9-A625-A96E5A5C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4018</Words>
  <Characters>21703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25670</CharactersWithSpaces>
  <SharedDoc>false</SharedDoc>
  <HLinks>
    <vt:vector size="6" baseType="variant"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http://www.weedscience.org/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Infovideo</dc:creator>
  <cp:lastModifiedBy>Ana Paula Rockenbach</cp:lastModifiedBy>
  <cp:revision>2</cp:revision>
  <cp:lastPrinted>2014-03-27T17:23:00Z</cp:lastPrinted>
  <dcterms:created xsi:type="dcterms:W3CDTF">2014-12-03T11:14:00Z</dcterms:created>
  <dcterms:modified xsi:type="dcterms:W3CDTF">2014-12-03T11:14:00Z</dcterms:modified>
</cp:coreProperties>
</file>